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657EB" w14:textId="02E564FE" w:rsidR="005B0ECB" w:rsidRDefault="005B0ECB" w:rsidP="005B0ECB">
      <w:pPr>
        <w:jc w:val="center"/>
        <w:rPr>
          <w:rFonts w:ascii="Aptos" w:eastAsia="Times New Roman" w:hAnsi="Aptos" w:cs="Times New Roman"/>
          <w:b/>
          <w:bCs/>
          <w:color w:val="000000"/>
          <w:kern w:val="0"/>
          <w:sz w:val="28"/>
          <w:szCs w:val="28"/>
          <w:lang w:val="en-HR" w:eastAsia="en-GB"/>
          <w14:ligatures w14:val="none"/>
        </w:rPr>
      </w:pPr>
      <w:r>
        <w:rPr>
          <w:rFonts w:ascii="Aptos" w:eastAsia="Times New Roman" w:hAnsi="Aptos" w:cs="Times New Roman"/>
          <w:b/>
          <w:bCs/>
          <w:noProof/>
          <w:color w:val="000000"/>
          <w:kern w:val="0"/>
          <w:sz w:val="28"/>
          <w:szCs w:val="28"/>
          <w:lang w:val="en-HR" w:eastAsia="en-GB"/>
        </w:rPr>
        <w:drawing>
          <wp:inline distT="0" distB="0" distL="0" distR="0" wp14:anchorId="35601CFF" wp14:editId="75F926EC">
            <wp:extent cx="1590805" cy="1590805"/>
            <wp:effectExtent l="0" t="0" r="0" b="0"/>
            <wp:docPr id="1915743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743990" name="Picture 1915743990"/>
                    <pic:cNvPicPr/>
                  </pic:nvPicPr>
                  <pic:blipFill>
                    <a:blip r:embed="rId7">
                      <a:extLst>
                        <a:ext uri="{28A0092B-C50C-407E-A947-70E740481C1C}">
                          <a14:useLocalDpi xmlns:a14="http://schemas.microsoft.com/office/drawing/2010/main" val="0"/>
                        </a:ext>
                      </a:extLst>
                    </a:blip>
                    <a:stretch>
                      <a:fillRect/>
                    </a:stretch>
                  </pic:blipFill>
                  <pic:spPr>
                    <a:xfrm>
                      <a:off x="0" y="0"/>
                      <a:ext cx="1594205" cy="1594205"/>
                    </a:xfrm>
                    <a:prstGeom prst="rect">
                      <a:avLst/>
                    </a:prstGeom>
                  </pic:spPr>
                </pic:pic>
              </a:graphicData>
            </a:graphic>
          </wp:inline>
        </w:drawing>
      </w:r>
    </w:p>
    <w:p w14:paraId="023F91D6" w14:textId="77777777" w:rsidR="005B0ECB" w:rsidRDefault="005B0ECB" w:rsidP="0039068B">
      <w:pPr>
        <w:rPr>
          <w:rFonts w:ascii="Aptos" w:eastAsia="Times New Roman" w:hAnsi="Aptos" w:cs="Times New Roman"/>
          <w:b/>
          <w:bCs/>
          <w:color w:val="000000"/>
          <w:kern w:val="0"/>
          <w:sz w:val="28"/>
          <w:szCs w:val="28"/>
          <w:lang w:val="en-HR" w:eastAsia="en-GB"/>
          <w14:ligatures w14:val="none"/>
        </w:rPr>
      </w:pPr>
    </w:p>
    <w:p w14:paraId="5BB31AC1" w14:textId="4AB7A4F1"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b/>
          <w:bCs/>
          <w:color w:val="000000"/>
          <w:kern w:val="0"/>
          <w:sz w:val="28"/>
          <w:szCs w:val="28"/>
          <w:lang w:val="en-HR" w:eastAsia="en-GB"/>
          <w14:ligatures w14:val="none"/>
        </w:rPr>
        <w:t>EU AI Act &amp; Education: Notes from the Saviesa and CroAI Roundtable</w:t>
      </w:r>
    </w:p>
    <w:p w14:paraId="011649B7"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4F169EA9"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 1. AI in Education: Promise, Progress, and Practical Realities</w:t>
      </w:r>
    </w:p>
    <w:p w14:paraId="31D1A78B"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53153EE2"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The Croatian education system has been proactively integrating artificial intelligence (AI), guided by robust frameworks and curricular reforms. Croatia has already implemented AI-driven content across primary and secondary schools, with around 300 features rolled out. Teachers are not navigating this shift alone — they receive training, access to educational programs, and ongoing support through action research initiatives. Currently, 27 educators are involved in research designed to revise and refine the curriculum, ensuring it evolves alongside technological and pedagogical shifts.</w:t>
      </w:r>
    </w:p>
    <w:p w14:paraId="711A5790"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1A9E2BFF"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Beyond the classroom, a large-scale longitudinal study on student well-being is underway, seeking to guide recommendations for digital technology use. These recommendations are intended for teachers, school administrators, and parents, and are being shaped collaboratively by education and AI experts. Guidelines for responsible AI use in education are also in development and set for imminent publication.</w:t>
      </w:r>
    </w:p>
    <w:p w14:paraId="410A92B4"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4DAADEA7"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Yet, amid this innovation lies a challenge: cultivating digital competence. Speakers emphasized that legislation alone — even something as powerful as the EU AI Act — cannot bridge the digital divide if students and teachers lack the skills to critically, ethically, and effectively use AI. Several European frameworks exist to guide digital and AI competencies, including those tailored for educators and cybersecurity. However, frameworks alone are not solutions — they require thoughtful, contextual application at the ground level.</w:t>
      </w:r>
    </w:p>
    <w:p w14:paraId="2F2C8FA6"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5B8FAB1F"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lastRenderedPageBreak/>
        <w:t> 2. AI Literacy, Critical Thinking, and Human Skills</w:t>
      </w:r>
    </w:p>
    <w:p w14:paraId="31A4999B"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12A5A4E1"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A key concern throughout the discussions was the erosion of critical thinking skills in younger generations. As AI systems — particularly black-box models — become more integrated into learning environments, the ability to question, assess, and discern the quality of information becomes paramount. This loss of discernment, particularly in children, can compound AI’s risk, making education not only about tool adoption but about AI-output judgment.</w:t>
      </w:r>
    </w:p>
    <w:p w14:paraId="77B30FD8"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2B73D5F2"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There was consensus among educators and policymakers that core human skills — creativity, collaboration, empathy, and critical thinking — must be nurtured alongside digital skills. The Saviesa initiative, in fact, is structured around this premise: AI is not replacing teachers or pedagogy but rather reshaping the kinds of competencies needed for future learners.</w:t>
      </w:r>
    </w:p>
    <w:p w14:paraId="15E35DCA"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4E91BCB0"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The panel also reflected on the Industrial Revolution's legacy on education, highlighting the need to shift from knowledge transfer models to ones that foster skill development and adaptive intelligence — a vision rooted in both historical understanding and future-forward thinking.</w:t>
      </w:r>
    </w:p>
    <w:p w14:paraId="48008F84"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588EA427"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 3. The EU AI Act: Structure, Purpose, and Perceived Tensions</w:t>
      </w:r>
    </w:p>
    <w:p w14:paraId="733C46E7"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6A790AD8"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The EU AI Act classifies education as a high-risk sector for AI deployment. This categorization stems from AI’s potential impact in admissions, grading, exam monitoring, and behavioral tracking — areas that directly influence individual life outcomes. As such, educational AI systems fall under stricter regulatory scrutiny.</w:t>
      </w:r>
    </w:p>
    <w:p w14:paraId="40A1F522"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2045EC13"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Legal experts discussed how this “high-risk” label, while protective in theory, could inadvertently stifle innovation. Educators and developers might hesitate to implement or build tools due to the regulatory burden and fear of noncompliance. Some saw this as an inevitable cost of maintaining high European standards; others suggested it could push innovation into less regulated domains.</w:t>
      </w:r>
    </w:p>
    <w:p w14:paraId="357E5CC2"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4BB95FBC"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 xml:space="preserve">The EU AI Act, structured like a pyramid, outlines tiers of AI risk. Most consumer AI tools (e.g., on smartphones) fall into the low- or no-risk </w:t>
      </w:r>
      <w:r w:rsidRPr="0039068B">
        <w:rPr>
          <w:rFonts w:ascii="Aptos" w:eastAsia="Times New Roman" w:hAnsi="Aptos" w:cs="Times New Roman"/>
          <w:color w:val="000000"/>
          <w:kern w:val="0"/>
          <w:sz w:val="28"/>
          <w:szCs w:val="28"/>
          <w:lang w:val="en-HR" w:eastAsia="en-GB"/>
          <w14:ligatures w14:val="none"/>
        </w:rPr>
        <w:lastRenderedPageBreak/>
        <w:t>categories. The high-risk tier includes education, healthcare, law enforcement, and other sectors where misuse can severely affect lives. At the pyramid’s peak lie banned systems — such as social scoring — that are considered fundamentally incompatible with EU values.</w:t>
      </w:r>
    </w:p>
    <w:p w14:paraId="219A804C"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3F38A4A6"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Importantly, the Act includes provisions for AI sandboxes, which were praised as a critical innovation tool. These sandboxes allow organizations to develop and test AI applications under real-world conditions, in cooperation with regulators, without the fear of immediate penalties. This approach fosters legal certainty and helps regulators and developers co-create safer and more effective systems.</w:t>
      </w:r>
    </w:p>
    <w:p w14:paraId="7B114141"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6001495B"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However, the Act’s success will depend heavily on implementation at the member state level. EU institutions can only provide the framework — the real work of fostering safe, creative AI use falls to national governments, schools, and developers.</w:t>
      </w:r>
    </w:p>
    <w:p w14:paraId="2C6813BB"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2FC9C773"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 4. On-the-Ground Experience: Brain and the Croatian Case Study</w:t>
      </w:r>
    </w:p>
    <w:p w14:paraId="6AF54A6F"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5F358559"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The Brain project in Croatia exemplifies how AI can be integrated into schools in a practical, measured way. Teachers engage with AI tools not in isolation but through continuous iteration, testing, and feedback. The process involves patience, critical evaluation, and support — not only for the students but for the educators themselves.</w:t>
      </w:r>
    </w:p>
    <w:p w14:paraId="23499F4B"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5A70D2AA"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Stakeholders stressed that experimentation is essential. Without hands-on engagement with AI tools, teachers and students cannot fully understand the opportunities or risks they present. Sandboxes — both conceptual and technical — were described as essential environments for learning and growth.</w:t>
      </w:r>
    </w:p>
    <w:p w14:paraId="354EBC78"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28A112F9"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Despite the project's success and international interest (e.g., from Mexico), panelists noted that awareness of these innovations is limited within Croatia itself. There's a pressing need for better communication strategies — not just traditional media, but also social platforms — to share these stories of educational transformation. Doing so would counteract misinformation and showcase positive AI use cases.</w:t>
      </w:r>
    </w:p>
    <w:p w14:paraId="4661A9F5"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2BC1EB21"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 5. Future Vision: Regulation, Equity, and Inclusion</w:t>
      </w:r>
    </w:p>
    <w:p w14:paraId="496623A2"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6E71E51A"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As the EU AI Act phases in (with education-related provisions slated for full implementation by August 2027), there is an urgent call for adaptive, proportional regulation. Not all education settings are the same — from kindergartens to postgraduate programs, AI literacy expectations must reflect the vastly different contexts in which educators operate.</w:t>
      </w:r>
    </w:p>
    <w:p w14:paraId="226EFBD3"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16BF9E5A"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Support for teacher autonomy and on-the-ground adaptation was a recurring theme. Teachers, already stretched thin by mental health challenges, social media dynamics, and systemic pressures, need flexibility and respect. Acts and frameworks must empower, not encumber, those who are ultimately responsible for guiding the next generation through an AI-driven world.</w:t>
      </w:r>
    </w:p>
    <w:p w14:paraId="502AAE39"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106A9E25"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The session concluded with a shared sentiment: AI in education is not a distant future — it’s a present reality. Ensuring that students develop into responsible, thoughtful, and creative AI users is now a moral imperative.</w:t>
      </w:r>
    </w:p>
    <w:p w14:paraId="6541B852" w14:textId="77777777" w:rsidR="0039068B" w:rsidRPr="0039068B" w:rsidRDefault="0039068B" w:rsidP="0039068B">
      <w:pPr>
        <w:spacing w:after="240"/>
        <w:rPr>
          <w:rFonts w:ascii="Aptos" w:eastAsia="Times New Roman" w:hAnsi="Aptos" w:cs="Times New Roman"/>
          <w:color w:val="000000"/>
          <w:kern w:val="0"/>
          <w:sz w:val="28"/>
          <w:szCs w:val="28"/>
          <w:lang w:val="en-HR" w:eastAsia="en-GB"/>
          <w14:ligatures w14:val="none"/>
        </w:rPr>
      </w:pPr>
    </w:p>
    <w:p w14:paraId="25491B8D" w14:textId="77777777" w:rsidR="0039068B" w:rsidRPr="0039068B" w:rsidRDefault="00054DB9" w:rsidP="0039068B">
      <w:pPr>
        <w:rPr>
          <w:rFonts w:ascii="Aptos" w:eastAsia="Times New Roman" w:hAnsi="Aptos" w:cs="Times New Roman"/>
          <w:color w:val="000000"/>
          <w:kern w:val="0"/>
          <w:sz w:val="28"/>
          <w:szCs w:val="28"/>
          <w:lang w:val="en-HR" w:eastAsia="en-GB"/>
          <w14:ligatures w14:val="none"/>
        </w:rPr>
      </w:pPr>
      <w:r w:rsidRPr="00054DB9">
        <w:rPr>
          <w:rFonts w:ascii="Aptos" w:eastAsia="Times New Roman" w:hAnsi="Aptos" w:cs="Times New Roman"/>
          <w:noProof/>
          <w:color w:val="000000"/>
          <w:kern w:val="0"/>
          <w:sz w:val="28"/>
          <w:szCs w:val="28"/>
          <w:lang w:val="en-HR" w:eastAsia="en-GB"/>
        </w:rPr>
        <w:pict w14:anchorId="577FC4F0">
          <v:rect id="_x0000_i1025" alt="" style="width:451.3pt;height:.05pt;mso-width-percent:0;mso-height-percent:0;mso-width-percent:0;mso-height-percent:0" o:hralign="center" o:hrstd="t" o:hr="t" fillcolor="#a0a0a0" stroked="f"/>
        </w:pict>
      </w:r>
    </w:p>
    <w:p w14:paraId="00B2AA12"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613330B4" w14:textId="77777777" w:rsidR="0039068B" w:rsidRPr="0039068B" w:rsidRDefault="0039068B" w:rsidP="0039068B">
      <w:pPr>
        <w:spacing w:before="240" w:after="240"/>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Suggested follow-up reports and/or roundtable discussions ideas for Saviesa, based on the above:</w:t>
      </w:r>
    </w:p>
    <w:p w14:paraId="03E06421" w14:textId="77777777" w:rsidR="0039068B" w:rsidRPr="0039068B" w:rsidRDefault="0039068B" w:rsidP="0039068B">
      <w:pPr>
        <w:rPr>
          <w:rFonts w:ascii="Aptos" w:eastAsia="Times New Roman" w:hAnsi="Aptos" w:cs="Times New Roman"/>
          <w:color w:val="000000"/>
          <w:kern w:val="0"/>
          <w:sz w:val="28"/>
          <w:szCs w:val="28"/>
          <w:lang w:val="en-HR" w:eastAsia="en-GB"/>
          <w14:ligatures w14:val="none"/>
        </w:rPr>
      </w:pPr>
    </w:p>
    <w:p w14:paraId="526DF2CB" w14:textId="77777777" w:rsidR="0039068B" w:rsidRPr="0039068B" w:rsidRDefault="0039068B" w:rsidP="0039068B">
      <w:pPr>
        <w:spacing w:before="240" w:after="240"/>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b/>
          <w:bCs/>
          <w:color w:val="000000"/>
          <w:kern w:val="0"/>
          <w:sz w:val="28"/>
          <w:szCs w:val="28"/>
          <w:lang w:val="en-HR" w:eastAsia="en-GB"/>
          <w14:ligatures w14:val="none"/>
        </w:rPr>
        <w:t>1. AI Literacy for All: What Should It Actually Look Like?</w:t>
      </w:r>
    </w:p>
    <w:p w14:paraId="5F084769" w14:textId="77777777" w:rsidR="0039068B" w:rsidRPr="0039068B" w:rsidRDefault="0039068B" w:rsidP="0039068B">
      <w:pPr>
        <w:numPr>
          <w:ilvl w:val="0"/>
          <w:numId w:val="1"/>
        </w:numPr>
        <w:spacing w:before="240" w:after="240"/>
        <w:textAlignment w:val="baseline"/>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How do we define "AI literacy" across different age groups and educational roles? ; What tools, training, or certifications should teachers and students have? ; How do we assess and support low-tech or under-resourced schools?</w:t>
      </w:r>
      <w:r w:rsidRPr="0039068B">
        <w:rPr>
          <w:rFonts w:ascii="Aptos" w:eastAsia="Times New Roman" w:hAnsi="Aptos" w:cs="Times New Roman"/>
          <w:color w:val="000000"/>
          <w:kern w:val="0"/>
          <w:sz w:val="28"/>
          <w:szCs w:val="28"/>
          <w:lang w:val="en-HR" w:eastAsia="en-GB"/>
          <w14:ligatures w14:val="none"/>
        </w:rPr>
        <w:br/>
      </w:r>
      <w:r w:rsidRPr="0039068B">
        <w:rPr>
          <w:rFonts w:ascii="Aptos" w:eastAsia="Times New Roman" w:hAnsi="Aptos" w:cs="Times New Roman"/>
          <w:color w:val="000000"/>
          <w:kern w:val="0"/>
          <w:sz w:val="28"/>
          <w:szCs w:val="28"/>
          <w:lang w:val="en-HR" w:eastAsia="en-GB"/>
          <w14:ligatures w14:val="none"/>
        </w:rPr>
        <w:br/>
      </w:r>
    </w:p>
    <w:p w14:paraId="5BA87609" w14:textId="77777777" w:rsidR="0039068B" w:rsidRPr="0039068B" w:rsidRDefault="0039068B" w:rsidP="0039068B">
      <w:pPr>
        <w:spacing w:before="240" w:after="240"/>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b/>
          <w:bCs/>
          <w:color w:val="000000"/>
          <w:kern w:val="0"/>
          <w:sz w:val="28"/>
          <w:szCs w:val="28"/>
          <w:lang w:val="en-HR" w:eastAsia="en-GB"/>
          <w14:ligatures w14:val="none"/>
        </w:rPr>
        <w:t>2. Rebuilding Critical Thinking in the Age of Generative AI</w:t>
      </w:r>
    </w:p>
    <w:p w14:paraId="68C530E0" w14:textId="77777777" w:rsidR="0039068B" w:rsidRPr="0039068B" w:rsidRDefault="0039068B" w:rsidP="0039068B">
      <w:pPr>
        <w:numPr>
          <w:ilvl w:val="0"/>
          <w:numId w:val="2"/>
        </w:numPr>
        <w:spacing w:before="240" w:after="240"/>
        <w:textAlignment w:val="baseline"/>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lastRenderedPageBreak/>
        <w:t>Can AI tools coexist with the development of independent thought? ; How do we teach "AI output judgment" in classrooms already flooded with information? ; What frameworks help evaluate the credibility of AI-assisted learning?</w:t>
      </w:r>
      <w:r w:rsidRPr="0039068B">
        <w:rPr>
          <w:rFonts w:ascii="Aptos" w:eastAsia="Times New Roman" w:hAnsi="Aptos" w:cs="Times New Roman"/>
          <w:color w:val="000000"/>
          <w:kern w:val="0"/>
          <w:sz w:val="28"/>
          <w:szCs w:val="28"/>
          <w:lang w:val="en-HR" w:eastAsia="en-GB"/>
          <w14:ligatures w14:val="none"/>
        </w:rPr>
        <w:br/>
      </w:r>
      <w:r w:rsidRPr="0039068B">
        <w:rPr>
          <w:rFonts w:ascii="Aptos" w:eastAsia="Times New Roman" w:hAnsi="Aptos" w:cs="Times New Roman"/>
          <w:color w:val="000000"/>
          <w:kern w:val="0"/>
          <w:sz w:val="28"/>
          <w:szCs w:val="28"/>
          <w:lang w:val="en-HR" w:eastAsia="en-GB"/>
          <w14:ligatures w14:val="none"/>
        </w:rPr>
        <w:br/>
      </w:r>
    </w:p>
    <w:p w14:paraId="6FF0FA02" w14:textId="77777777" w:rsidR="0039068B" w:rsidRPr="0039068B" w:rsidRDefault="0039068B" w:rsidP="0039068B">
      <w:pPr>
        <w:spacing w:before="240" w:after="240"/>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b/>
          <w:bCs/>
          <w:color w:val="000000"/>
          <w:kern w:val="0"/>
          <w:sz w:val="28"/>
          <w:szCs w:val="28"/>
          <w:lang w:val="en-HR" w:eastAsia="en-GB"/>
          <w14:ligatures w14:val="none"/>
        </w:rPr>
        <w:t>3. Regulation on the Ground: Implementing the AI Act in Schools</w:t>
      </w:r>
    </w:p>
    <w:p w14:paraId="0AB40981" w14:textId="77777777" w:rsidR="0039068B" w:rsidRPr="0039068B" w:rsidRDefault="0039068B" w:rsidP="0039068B">
      <w:pPr>
        <w:numPr>
          <w:ilvl w:val="0"/>
          <w:numId w:val="3"/>
        </w:numPr>
        <w:spacing w:before="240" w:after="240"/>
        <w:textAlignment w:val="baseline"/>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What support do schools need to comply with “high-risk” AI rules? ; What are realistic expectations for early childhood versus higher education? ; How do we ensure that compliance doesn’t burden teachers or stall innovation?</w:t>
      </w:r>
      <w:r w:rsidRPr="0039068B">
        <w:rPr>
          <w:rFonts w:ascii="Aptos" w:eastAsia="Times New Roman" w:hAnsi="Aptos" w:cs="Times New Roman"/>
          <w:color w:val="000000"/>
          <w:kern w:val="0"/>
          <w:sz w:val="28"/>
          <w:szCs w:val="28"/>
          <w:lang w:val="en-HR" w:eastAsia="en-GB"/>
          <w14:ligatures w14:val="none"/>
        </w:rPr>
        <w:br/>
      </w:r>
      <w:r w:rsidRPr="0039068B">
        <w:rPr>
          <w:rFonts w:ascii="Aptos" w:eastAsia="Times New Roman" w:hAnsi="Aptos" w:cs="Times New Roman"/>
          <w:color w:val="000000"/>
          <w:kern w:val="0"/>
          <w:sz w:val="28"/>
          <w:szCs w:val="28"/>
          <w:lang w:val="en-HR" w:eastAsia="en-GB"/>
          <w14:ligatures w14:val="none"/>
        </w:rPr>
        <w:br/>
      </w:r>
    </w:p>
    <w:p w14:paraId="37DD4732" w14:textId="77777777" w:rsidR="0039068B" w:rsidRPr="0039068B" w:rsidRDefault="0039068B" w:rsidP="0039068B">
      <w:pPr>
        <w:spacing w:before="240" w:after="240"/>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b/>
          <w:bCs/>
          <w:color w:val="000000"/>
          <w:kern w:val="0"/>
          <w:sz w:val="28"/>
          <w:szCs w:val="28"/>
          <w:lang w:val="en-HR" w:eastAsia="en-GB"/>
          <w14:ligatures w14:val="none"/>
        </w:rPr>
        <w:t>4. Designing Ethical EdTech: From Sandbox to Schoolyard</w:t>
      </w:r>
    </w:p>
    <w:p w14:paraId="3F011EE2" w14:textId="77777777" w:rsidR="0039068B" w:rsidRPr="0039068B" w:rsidRDefault="0039068B" w:rsidP="0039068B">
      <w:pPr>
        <w:numPr>
          <w:ilvl w:val="0"/>
          <w:numId w:val="4"/>
        </w:numPr>
        <w:spacing w:before="240" w:after="240"/>
        <w:textAlignment w:val="baseline"/>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What makes an AI sandbox successful in an educational context? ; How do we bring together educators, developers, and regulators to co-design tools? ; What are some real-world sandbox case studies—what worked, what didn’t?</w:t>
      </w:r>
      <w:r w:rsidRPr="0039068B">
        <w:rPr>
          <w:rFonts w:ascii="Aptos" w:eastAsia="Times New Roman" w:hAnsi="Aptos" w:cs="Times New Roman"/>
          <w:color w:val="000000"/>
          <w:kern w:val="0"/>
          <w:sz w:val="28"/>
          <w:szCs w:val="28"/>
          <w:lang w:val="en-HR" w:eastAsia="en-GB"/>
          <w14:ligatures w14:val="none"/>
        </w:rPr>
        <w:br/>
      </w:r>
      <w:r w:rsidRPr="0039068B">
        <w:rPr>
          <w:rFonts w:ascii="Aptos" w:eastAsia="Times New Roman" w:hAnsi="Aptos" w:cs="Times New Roman"/>
          <w:color w:val="000000"/>
          <w:kern w:val="0"/>
          <w:sz w:val="28"/>
          <w:szCs w:val="28"/>
          <w:lang w:val="en-HR" w:eastAsia="en-GB"/>
          <w14:ligatures w14:val="none"/>
        </w:rPr>
        <w:br/>
      </w:r>
    </w:p>
    <w:p w14:paraId="290A9626" w14:textId="77777777" w:rsidR="0039068B" w:rsidRPr="0039068B" w:rsidRDefault="0039068B" w:rsidP="0039068B">
      <w:pPr>
        <w:spacing w:before="240" w:after="240"/>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b/>
          <w:bCs/>
          <w:color w:val="000000"/>
          <w:kern w:val="0"/>
          <w:sz w:val="28"/>
          <w:szCs w:val="28"/>
          <w:lang w:val="en-HR" w:eastAsia="en-GB"/>
          <w14:ligatures w14:val="none"/>
        </w:rPr>
        <w:t>5. Policy Meets Pedagogy: Rethinking Educational Models in the AI Era</w:t>
      </w:r>
    </w:p>
    <w:p w14:paraId="162F05AD" w14:textId="77777777" w:rsidR="0039068B" w:rsidRPr="0039068B" w:rsidRDefault="0039068B" w:rsidP="0039068B">
      <w:pPr>
        <w:numPr>
          <w:ilvl w:val="0"/>
          <w:numId w:val="5"/>
        </w:numPr>
        <w:spacing w:before="240" w:after="240"/>
        <w:textAlignment w:val="baseline"/>
        <w:rPr>
          <w:rFonts w:ascii="Aptos" w:eastAsia="Times New Roman" w:hAnsi="Aptos" w:cs="Times New Roman"/>
          <w:color w:val="000000"/>
          <w:kern w:val="0"/>
          <w:sz w:val="28"/>
          <w:szCs w:val="28"/>
          <w:lang w:val="en-HR" w:eastAsia="en-GB"/>
          <w14:ligatures w14:val="none"/>
        </w:rPr>
      </w:pPr>
      <w:r w:rsidRPr="0039068B">
        <w:rPr>
          <w:rFonts w:ascii="Aptos" w:eastAsia="Times New Roman" w:hAnsi="Aptos" w:cs="Times New Roman"/>
          <w:color w:val="000000"/>
          <w:kern w:val="0"/>
          <w:sz w:val="28"/>
          <w:szCs w:val="28"/>
          <w:lang w:val="en-HR" w:eastAsia="en-GB"/>
          <w14:ligatures w14:val="none"/>
        </w:rPr>
        <w:t>What educational models move beyond the Industrial Age paradigm? ; How do we integrate creativity, collaboration, and emotional intelligence alongside AI? ; What’s the balance between human teaching and automated support?</w:t>
      </w:r>
    </w:p>
    <w:p w14:paraId="24F97778" w14:textId="77777777" w:rsidR="0039068B" w:rsidRPr="0039068B" w:rsidRDefault="0039068B" w:rsidP="0039068B">
      <w:pPr>
        <w:spacing w:after="240"/>
        <w:rPr>
          <w:rFonts w:ascii="Times New Roman" w:eastAsia="Times New Roman" w:hAnsi="Times New Roman" w:cs="Times New Roman"/>
          <w:kern w:val="0"/>
          <w:lang w:val="en-HR" w:eastAsia="en-GB"/>
          <w14:ligatures w14:val="none"/>
        </w:rPr>
      </w:pPr>
    </w:p>
    <w:p w14:paraId="11690439" w14:textId="77777777" w:rsidR="0039068B" w:rsidRPr="0039068B" w:rsidRDefault="0039068B" w:rsidP="0039068B">
      <w:pPr>
        <w:rPr>
          <w:rFonts w:ascii="Times New Roman" w:eastAsia="Times New Roman" w:hAnsi="Times New Roman" w:cs="Times New Roman"/>
          <w:kern w:val="0"/>
          <w:lang w:val="en-HR" w:eastAsia="en-GB"/>
          <w14:ligatures w14:val="none"/>
        </w:rPr>
      </w:pPr>
    </w:p>
    <w:p w14:paraId="1A3C0001" w14:textId="77777777" w:rsidR="008E5BFC" w:rsidRDefault="008E5BFC"/>
    <w:sectPr w:rsidR="008E5BFC" w:rsidSect="0039068B">
      <w:footerReference w:type="even"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878E1" w14:textId="77777777" w:rsidR="00054DB9" w:rsidRDefault="00054DB9" w:rsidP="005B0ECB">
      <w:r>
        <w:separator/>
      </w:r>
    </w:p>
  </w:endnote>
  <w:endnote w:type="continuationSeparator" w:id="0">
    <w:p w14:paraId="00195FC9" w14:textId="77777777" w:rsidR="00054DB9" w:rsidRDefault="00054DB9" w:rsidP="005B0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56519282"/>
      <w:docPartObj>
        <w:docPartGallery w:val="Page Numbers (Bottom of Page)"/>
        <w:docPartUnique/>
      </w:docPartObj>
    </w:sdtPr>
    <w:sdtContent>
      <w:p w14:paraId="4AAC05D2" w14:textId="6B20EEC3" w:rsidR="005B0ECB" w:rsidRDefault="005B0ECB" w:rsidP="00773A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AC00EA" w14:textId="77777777" w:rsidR="005B0ECB" w:rsidRDefault="005B0ECB" w:rsidP="005B0E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2173413"/>
      <w:docPartObj>
        <w:docPartGallery w:val="Page Numbers (Bottom of Page)"/>
        <w:docPartUnique/>
      </w:docPartObj>
    </w:sdtPr>
    <w:sdtContent>
      <w:p w14:paraId="416FA4E2" w14:textId="2D2D1703" w:rsidR="005B0ECB" w:rsidRDefault="005B0ECB" w:rsidP="00773A3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052BD6" w14:textId="77777777" w:rsidR="005B0ECB" w:rsidRDefault="005B0ECB" w:rsidP="005B0E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FECCE" w14:textId="77777777" w:rsidR="00054DB9" w:rsidRDefault="00054DB9" w:rsidP="005B0ECB">
      <w:r>
        <w:separator/>
      </w:r>
    </w:p>
  </w:footnote>
  <w:footnote w:type="continuationSeparator" w:id="0">
    <w:p w14:paraId="6BCE854A" w14:textId="77777777" w:rsidR="00054DB9" w:rsidRDefault="00054DB9" w:rsidP="005B0E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2A459F"/>
    <w:multiLevelType w:val="multilevel"/>
    <w:tmpl w:val="67E6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E27276"/>
    <w:multiLevelType w:val="multilevel"/>
    <w:tmpl w:val="B5948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D50B5C"/>
    <w:multiLevelType w:val="multilevel"/>
    <w:tmpl w:val="EDA6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701EEC"/>
    <w:multiLevelType w:val="multilevel"/>
    <w:tmpl w:val="D4487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AE1D3E"/>
    <w:multiLevelType w:val="multilevel"/>
    <w:tmpl w:val="22627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7834368">
    <w:abstractNumId w:val="3"/>
  </w:num>
  <w:num w:numId="2" w16cid:durableId="878929265">
    <w:abstractNumId w:val="1"/>
  </w:num>
  <w:num w:numId="3" w16cid:durableId="636645120">
    <w:abstractNumId w:val="4"/>
  </w:num>
  <w:num w:numId="4" w16cid:durableId="1715884479">
    <w:abstractNumId w:val="0"/>
  </w:num>
  <w:num w:numId="5" w16cid:durableId="7194809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68B"/>
    <w:rsid w:val="000139A0"/>
    <w:rsid w:val="00054DB9"/>
    <w:rsid w:val="00064C5E"/>
    <w:rsid w:val="000D12C9"/>
    <w:rsid w:val="00355712"/>
    <w:rsid w:val="0039068B"/>
    <w:rsid w:val="005B0ECB"/>
    <w:rsid w:val="00661B9B"/>
    <w:rsid w:val="006824E2"/>
    <w:rsid w:val="008E5BFC"/>
    <w:rsid w:val="00AF4A66"/>
  </w:rsids>
  <m:mathPr>
    <m:mathFont m:val="Cambria Math"/>
    <m:brkBin m:val="before"/>
    <m:brkBinSub m:val="--"/>
    <m:smallFrac m:val="0"/>
    <m:dispDef/>
    <m:lMargin m:val="0"/>
    <m:rMargin m:val="0"/>
    <m:defJc m:val="centerGroup"/>
    <m:wrapIndent m:val="1440"/>
    <m:intLim m:val="subSup"/>
    <m:naryLim m:val="undOvr"/>
  </m:mathPr>
  <w:themeFontLang w:val="en-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56F37"/>
  <w15:chartTrackingRefBased/>
  <w15:docId w15:val="{5D5CB933-2756-2A4B-9E19-D5DD8A320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H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3906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06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06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06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06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06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06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06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06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68B"/>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39068B"/>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39068B"/>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39068B"/>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39068B"/>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39068B"/>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39068B"/>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39068B"/>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39068B"/>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39068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068B"/>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39068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068B"/>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3906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9068B"/>
    <w:rPr>
      <w:i/>
      <w:iCs/>
      <w:color w:val="404040" w:themeColor="text1" w:themeTint="BF"/>
      <w:lang w:val="en-GB"/>
    </w:rPr>
  </w:style>
  <w:style w:type="paragraph" w:styleId="ListParagraph">
    <w:name w:val="List Paragraph"/>
    <w:basedOn w:val="Normal"/>
    <w:uiPriority w:val="34"/>
    <w:qFormat/>
    <w:rsid w:val="0039068B"/>
    <w:pPr>
      <w:ind w:left="720"/>
      <w:contextualSpacing/>
    </w:pPr>
  </w:style>
  <w:style w:type="character" w:styleId="IntenseEmphasis">
    <w:name w:val="Intense Emphasis"/>
    <w:basedOn w:val="DefaultParagraphFont"/>
    <w:uiPriority w:val="21"/>
    <w:qFormat/>
    <w:rsid w:val="0039068B"/>
    <w:rPr>
      <w:i/>
      <w:iCs/>
      <w:color w:val="0F4761" w:themeColor="accent1" w:themeShade="BF"/>
    </w:rPr>
  </w:style>
  <w:style w:type="paragraph" w:styleId="IntenseQuote">
    <w:name w:val="Intense Quote"/>
    <w:basedOn w:val="Normal"/>
    <w:next w:val="Normal"/>
    <w:link w:val="IntenseQuoteChar"/>
    <w:uiPriority w:val="30"/>
    <w:qFormat/>
    <w:rsid w:val="003906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068B"/>
    <w:rPr>
      <w:i/>
      <w:iCs/>
      <w:color w:val="0F4761" w:themeColor="accent1" w:themeShade="BF"/>
      <w:lang w:val="en-GB"/>
    </w:rPr>
  </w:style>
  <w:style w:type="character" w:styleId="IntenseReference">
    <w:name w:val="Intense Reference"/>
    <w:basedOn w:val="DefaultParagraphFont"/>
    <w:uiPriority w:val="32"/>
    <w:qFormat/>
    <w:rsid w:val="0039068B"/>
    <w:rPr>
      <w:b/>
      <w:bCs/>
      <w:smallCaps/>
      <w:color w:val="0F4761" w:themeColor="accent1" w:themeShade="BF"/>
      <w:spacing w:val="5"/>
    </w:rPr>
  </w:style>
  <w:style w:type="paragraph" w:styleId="NormalWeb">
    <w:name w:val="Normal (Web)"/>
    <w:basedOn w:val="Normal"/>
    <w:uiPriority w:val="99"/>
    <w:semiHidden/>
    <w:unhideWhenUsed/>
    <w:rsid w:val="0039068B"/>
    <w:pPr>
      <w:spacing w:before="100" w:beforeAutospacing="1" w:after="100" w:afterAutospacing="1"/>
    </w:pPr>
    <w:rPr>
      <w:rFonts w:ascii="Times New Roman" w:eastAsia="Times New Roman" w:hAnsi="Times New Roman" w:cs="Times New Roman"/>
      <w:kern w:val="0"/>
      <w:lang w:val="en-HR" w:eastAsia="en-GB"/>
      <w14:ligatures w14:val="none"/>
    </w:rPr>
  </w:style>
  <w:style w:type="paragraph" w:styleId="Footer">
    <w:name w:val="footer"/>
    <w:basedOn w:val="Normal"/>
    <w:link w:val="FooterChar"/>
    <w:uiPriority w:val="99"/>
    <w:unhideWhenUsed/>
    <w:rsid w:val="005B0ECB"/>
    <w:pPr>
      <w:tabs>
        <w:tab w:val="center" w:pos="4513"/>
        <w:tab w:val="right" w:pos="9026"/>
      </w:tabs>
    </w:pPr>
  </w:style>
  <w:style w:type="character" w:customStyle="1" w:styleId="FooterChar">
    <w:name w:val="Footer Char"/>
    <w:basedOn w:val="DefaultParagraphFont"/>
    <w:link w:val="Footer"/>
    <w:uiPriority w:val="99"/>
    <w:rsid w:val="005B0ECB"/>
    <w:rPr>
      <w:lang w:val="en-GB"/>
    </w:rPr>
  </w:style>
  <w:style w:type="character" w:styleId="PageNumber">
    <w:name w:val="page number"/>
    <w:basedOn w:val="DefaultParagraphFont"/>
    <w:uiPriority w:val="99"/>
    <w:semiHidden/>
    <w:unhideWhenUsed/>
    <w:rsid w:val="005B0E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6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1244</Words>
  <Characters>7091</Characters>
  <Application>Microsoft Office Word</Application>
  <DocSecurity>0</DocSecurity>
  <Lines>59</Lines>
  <Paragraphs>16</Paragraphs>
  <ScaleCrop>false</ScaleCrop>
  <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 Diaz Alcantara</dc:creator>
  <cp:keywords/>
  <dc:description/>
  <cp:lastModifiedBy>Leonor Diaz Alcantara</cp:lastModifiedBy>
  <cp:revision>4</cp:revision>
  <dcterms:created xsi:type="dcterms:W3CDTF">2025-06-13T12:11:00Z</dcterms:created>
  <dcterms:modified xsi:type="dcterms:W3CDTF">2025-07-20T17:50:00Z</dcterms:modified>
</cp:coreProperties>
</file>