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7123F8" w14:textId="196921A0" w:rsidR="00190D17" w:rsidRDefault="00190D17" w:rsidP="00190D17">
      <w:pPr>
        <w:spacing w:before="240" w:after="240"/>
        <w:jc w:val="center"/>
        <w:rPr>
          <w:rFonts w:ascii="Georgia" w:eastAsia="Times New Roman" w:hAnsi="Georgia" w:cs="Times New Roman"/>
          <w:b/>
          <w:bCs/>
          <w:color w:val="000000"/>
          <w:kern w:val="0"/>
          <w:sz w:val="22"/>
          <w:szCs w:val="22"/>
          <w:lang w:val="en-HR" w:eastAsia="en-GB"/>
          <w14:ligatures w14:val="none"/>
        </w:rPr>
      </w:pPr>
      <w:r>
        <w:rPr>
          <w:rFonts w:ascii="Georgia" w:eastAsia="Times New Roman" w:hAnsi="Georgia" w:cs="Times New Roman"/>
          <w:b/>
          <w:bCs/>
          <w:noProof/>
          <w:color w:val="000000"/>
          <w:kern w:val="0"/>
          <w:sz w:val="22"/>
          <w:szCs w:val="22"/>
          <w:lang w:val="en-HR" w:eastAsia="en-GB"/>
        </w:rPr>
        <w:drawing>
          <wp:inline distT="0" distB="0" distL="0" distR="0" wp14:anchorId="70FB2E53" wp14:editId="022EBCAE">
            <wp:extent cx="4070838" cy="1678786"/>
            <wp:effectExtent l="0" t="0" r="0" b="0"/>
            <wp:docPr id="602592586"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2592586" name="Graphic 602592586"/>
                    <pic:cNvPicPr/>
                  </pic:nvPicPr>
                  <pic:blipFill>
                    <a:blip r:embed="rId7">
                      <a:extLst>
                        <a:ext uri="{96DAC541-7B7A-43D3-8B79-37D633B846F1}">
                          <asvg:svgBlip xmlns:asvg="http://schemas.microsoft.com/office/drawing/2016/SVG/main" r:embed="rId8"/>
                        </a:ext>
                      </a:extLst>
                    </a:blip>
                    <a:stretch>
                      <a:fillRect/>
                    </a:stretch>
                  </pic:blipFill>
                  <pic:spPr>
                    <a:xfrm>
                      <a:off x="0" y="0"/>
                      <a:ext cx="4163798" cy="1717122"/>
                    </a:xfrm>
                    <a:prstGeom prst="rect">
                      <a:avLst/>
                    </a:prstGeom>
                  </pic:spPr>
                </pic:pic>
              </a:graphicData>
            </a:graphic>
          </wp:inline>
        </w:drawing>
      </w:r>
    </w:p>
    <w:p w14:paraId="6077ECDD" w14:textId="77777777" w:rsidR="00190D17" w:rsidRDefault="00157D2B" w:rsidP="00190D17">
      <w:pPr>
        <w:spacing w:before="240" w:after="240"/>
        <w:jc w:val="center"/>
        <w:rPr>
          <w:rFonts w:ascii="Aptos" w:eastAsia="Times New Roman" w:hAnsi="Aptos" w:cs="Times New Roman"/>
          <w:b/>
          <w:bCs/>
          <w:color w:val="000000"/>
          <w:kern w:val="0"/>
          <w:sz w:val="36"/>
          <w:szCs w:val="36"/>
          <w:lang w:val="en-HR" w:eastAsia="en-GB"/>
          <w14:ligatures w14:val="none"/>
        </w:rPr>
      </w:pPr>
      <w:r w:rsidRPr="00157D2B">
        <w:rPr>
          <w:rFonts w:ascii="Aptos" w:eastAsia="Times New Roman" w:hAnsi="Aptos" w:cs="Times New Roman"/>
          <w:b/>
          <w:bCs/>
          <w:color w:val="000000"/>
          <w:kern w:val="0"/>
          <w:sz w:val="36"/>
          <w:szCs w:val="36"/>
          <w:lang w:val="en-HR" w:eastAsia="en-GB"/>
          <w14:ligatures w14:val="none"/>
        </w:rPr>
        <w:t xml:space="preserve">Learning in the Age of the Machine: </w:t>
      </w:r>
    </w:p>
    <w:p w14:paraId="361896B8" w14:textId="49CD3505" w:rsidR="00157D2B" w:rsidRPr="00157D2B" w:rsidRDefault="00157D2B" w:rsidP="00190D17">
      <w:pPr>
        <w:spacing w:before="240" w:after="240"/>
        <w:jc w:val="center"/>
        <w:rPr>
          <w:rFonts w:ascii="Aptos" w:eastAsia="Times New Roman" w:hAnsi="Aptos" w:cs="Times New Roman"/>
          <w:color w:val="000000"/>
          <w:kern w:val="0"/>
          <w:sz w:val="36"/>
          <w:szCs w:val="36"/>
          <w:lang w:val="en-HR" w:eastAsia="en-GB"/>
          <w14:ligatures w14:val="none"/>
        </w:rPr>
      </w:pPr>
      <w:r w:rsidRPr="00157D2B">
        <w:rPr>
          <w:rFonts w:ascii="Aptos" w:eastAsia="Times New Roman" w:hAnsi="Aptos" w:cs="Times New Roman"/>
          <w:b/>
          <w:bCs/>
          <w:color w:val="000000"/>
          <w:kern w:val="0"/>
          <w:sz w:val="36"/>
          <w:szCs w:val="36"/>
          <w:lang w:val="en-HR" w:eastAsia="en-GB"/>
          <w14:ligatures w14:val="none"/>
        </w:rPr>
        <w:t>AI Policy and the State of Education in 2025</w:t>
      </w:r>
    </w:p>
    <w:p w14:paraId="685AD3D4" w14:textId="77777777" w:rsidR="00157D2B" w:rsidRPr="00157D2B" w:rsidRDefault="00157D2B" w:rsidP="00157D2B">
      <w:pPr>
        <w:rPr>
          <w:rFonts w:ascii="Aptos" w:eastAsia="Times New Roman" w:hAnsi="Aptos" w:cs="Times New Roman"/>
          <w:color w:val="000000"/>
          <w:kern w:val="0"/>
          <w:lang w:val="en-HR" w:eastAsia="en-GB"/>
          <w14:ligatures w14:val="none"/>
        </w:rPr>
      </w:pPr>
    </w:p>
    <w:p w14:paraId="7F7D54B0" w14:textId="77777777" w:rsidR="00157D2B" w:rsidRPr="00157D2B" w:rsidRDefault="00157D2B" w:rsidP="00157D2B">
      <w:pPr>
        <w:spacing w:before="240" w:after="240"/>
        <w:rPr>
          <w:rFonts w:ascii="Aptos" w:eastAsia="Times New Roman" w:hAnsi="Aptos" w:cs="Times New Roman"/>
          <w:color w:val="000000"/>
          <w:kern w:val="0"/>
          <w:lang w:val="en-HR" w:eastAsia="en-GB"/>
          <w14:ligatures w14:val="none"/>
        </w:rPr>
      </w:pPr>
      <w:r w:rsidRPr="00157D2B">
        <w:rPr>
          <w:rFonts w:ascii="Aptos" w:eastAsia="Times New Roman" w:hAnsi="Aptos" w:cs="Times New Roman"/>
          <w:color w:val="000000"/>
          <w:kern w:val="0"/>
          <w:lang w:val="en-HR" w:eastAsia="en-GB"/>
          <w14:ligatures w14:val="none"/>
        </w:rPr>
        <w:t>The classroom is no longer the hard-walled forge shaping the</w:t>
      </w:r>
      <w:r w:rsidRPr="00157D2B">
        <w:rPr>
          <w:rFonts w:ascii="Aptos" w:eastAsia="Times New Roman" w:hAnsi="Aptos" w:cs="Times New Roman"/>
          <w:color w:val="000000"/>
          <w:kern w:val="0"/>
          <w:shd w:val="clear" w:color="auto" w:fill="FFFFFF"/>
          <w:lang w:val="en-HR" w:eastAsia="en-GB"/>
          <w14:ligatures w14:val="none"/>
        </w:rPr>
        <w:t xml:space="preserve"> student-teacher exchange. </w:t>
      </w:r>
      <w:r w:rsidRPr="00157D2B">
        <w:rPr>
          <w:rFonts w:ascii="Aptos" w:eastAsia="Times New Roman" w:hAnsi="Aptos" w:cs="Times New Roman"/>
          <w:color w:val="000000"/>
          <w:kern w:val="0"/>
          <w:lang w:val="en-HR" w:eastAsia="en-GB"/>
          <w14:ligatures w14:val="none"/>
        </w:rPr>
        <w:t xml:space="preserve">It is porous, humming with unseen digital intermediaries: systems that suggest lesson plans, correct essays, and, with the ever expanding scope of generative AI, </w:t>
      </w:r>
      <w:r w:rsidRPr="00157D2B">
        <w:rPr>
          <w:rFonts w:ascii="Aptos" w:eastAsia="Times New Roman" w:hAnsi="Aptos" w:cs="Times New Roman"/>
          <w:color w:val="000000"/>
          <w:kern w:val="0"/>
          <w:shd w:val="clear" w:color="auto" w:fill="FFFFFF"/>
          <w:lang w:val="en-HR" w:eastAsia="en-GB"/>
          <w14:ligatures w14:val="none"/>
        </w:rPr>
        <w:t>converse with users</w:t>
      </w:r>
      <w:r w:rsidRPr="00157D2B">
        <w:rPr>
          <w:rFonts w:ascii="Aptos" w:eastAsia="Times New Roman" w:hAnsi="Aptos" w:cs="Times New Roman"/>
          <w:color w:val="000000"/>
          <w:kern w:val="0"/>
          <w:lang w:val="en-HR" w:eastAsia="en-GB"/>
          <w14:ligatures w14:val="none"/>
        </w:rPr>
        <w:t xml:space="preserve"> into the small hours. In 2025, this quiet and disquieting revolution crossed a threshold for educators—from experiment to administration and adaptation. Indeed, as of October 2025, the UK Department for Education (DfE) has </w:t>
      </w:r>
      <w:hyperlink r:id="rId9" w:history="1">
        <w:r w:rsidRPr="00157D2B">
          <w:rPr>
            <w:rFonts w:ascii="Aptos" w:eastAsia="Times New Roman" w:hAnsi="Aptos" w:cs="Times New Roman"/>
            <w:color w:val="1155CC"/>
            <w:kern w:val="0"/>
            <w:u w:val="single"/>
            <w:lang w:val="en-HR" w:eastAsia="en-GB"/>
            <w14:ligatures w14:val="none"/>
          </w:rPr>
          <w:t>formalised the role of generative AI in education</w:t>
        </w:r>
      </w:hyperlink>
      <w:r w:rsidRPr="00157D2B">
        <w:rPr>
          <w:rFonts w:ascii="Aptos" w:eastAsia="Times New Roman" w:hAnsi="Aptos" w:cs="Times New Roman"/>
          <w:color w:val="000000"/>
          <w:kern w:val="0"/>
          <w:lang w:val="en-HR" w:eastAsia="en-GB"/>
          <w14:ligatures w14:val="none"/>
        </w:rPr>
        <w:t>, emphasising safe adoption, teacher oversight, and alignment with existing legal duties.</w:t>
      </w:r>
    </w:p>
    <w:p w14:paraId="0626DAA1" w14:textId="77777777" w:rsidR="00157D2B" w:rsidRPr="00157D2B" w:rsidRDefault="00157D2B" w:rsidP="00157D2B">
      <w:pPr>
        <w:spacing w:before="240" w:after="240"/>
        <w:rPr>
          <w:rFonts w:ascii="Aptos" w:eastAsia="Times New Roman" w:hAnsi="Aptos" w:cs="Times New Roman"/>
          <w:color w:val="000000"/>
          <w:kern w:val="0"/>
          <w:lang w:val="en-HR" w:eastAsia="en-GB"/>
          <w14:ligatures w14:val="none"/>
        </w:rPr>
      </w:pPr>
      <w:r w:rsidRPr="00157D2B">
        <w:rPr>
          <w:rFonts w:ascii="Aptos" w:eastAsia="Times New Roman" w:hAnsi="Aptos" w:cs="Times New Roman"/>
          <w:color w:val="000000"/>
          <w:kern w:val="0"/>
          <w:lang w:val="en-HR" w:eastAsia="en-GB"/>
          <w14:ligatures w14:val="none"/>
        </w:rPr>
        <w:t>This whitepaper examines this transformation, from global ethical frameworks to national guidance and institutional practice, through a central question: </w:t>
      </w:r>
    </w:p>
    <w:p w14:paraId="54210286" w14:textId="77777777" w:rsidR="00190D17" w:rsidRDefault="00190D17" w:rsidP="00157D2B">
      <w:pPr>
        <w:spacing w:before="240" w:after="240"/>
        <w:rPr>
          <w:rFonts w:ascii="Aptos" w:eastAsia="Times New Roman" w:hAnsi="Aptos" w:cs="Times New Roman"/>
          <w:b/>
          <w:bCs/>
          <w:color w:val="000000"/>
          <w:kern w:val="0"/>
          <w:lang w:val="en-HR" w:eastAsia="en-GB"/>
          <w14:ligatures w14:val="none"/>
        </w:rPr>
      </w:pPr>
    </w:p>
    <w:p w14:paraId="1B9DFB2D" w14:textId="181E0E8D" w:rsidR="00157D2B" w:rsidRPr="00157D2B" w:rsidRDefault="00157D2B" w:rsidP="00157D2B">
      <w:pPr>
        <w:spacing w:before="240" w:after="240"/>
        <w:rPr>
          <w:rFonts w:ascii="Aptos" w:eastAsia="Times New Roman" w:hAnsi="Aptos" w:cs="Times New Roman"/>
          <w:color w:val="000000"/>
          <w:kern w:val="0"/>
          <w:lang w:val="en-HR" w:eastAsia="en-GB"/>
          <w14:ligatures w14:val="none"/>
        </w:rPr>
      </w:pPr>
      <w:r w:rsidRPr="00157D2B">
        <w:rPr>
          <w:rFonts w:ascii="Aptos" w:eastAsia="Times New Roman" w:hAnsi="Aptos" w:cs="Times New Roman"/>
          <w:b/>
          <w:bCs/>
          <w:color w:val="000000"/>
          <w:kern w:val="0"/>
          <w:lang w:val="en-HR" w:eastAsia="en-GB"/>
          <w14:ligatures w14:val="none"/>
        </w:rPr>
        <w:t>How can education harness machine intelligence without forfeiting its human mandate?</w:t>
      </w:r>
      <w:r w:rsidRPr="00157D2B">
        <w:rPr>
          <w:rFonts w:ascii="Aptos" w:eastAsia="Times New Roman" w:hAnsi="Aptos" w:cs="Times New Roman"/>
          <w:color w:val="000000"/>
          <w:kern w:val="0"/>
          <w:lang w:val="en-HR" w:eastAsia="en-GB"/>
          <w14:ligatures w14:val="none"/>
        </w:rPr>
        <w:t> </w:t>
      </w:r>
    </w:p>
    <w:p w14:paraId="16B9B907" w14:textId="77777777" w:rsidR="00157D2B" w:rsidRPr="00157D2B" w:rsidRDefault="00157D2B" w:rsidP="00157D2B">
      <w:pPr>
        <w:spacing w:before="240" w:after="240"/>
        <w:rPr>
          <w:rFonts w:ascii="Aptos" w:eastAsia="Times New Roman" w:hAnsi="Aptos" w:cs="Times New Roman"/>
          <w:color w:val="000000"/>
          <w:kern w:val="0"/>
          <w:lang w:val="en-HR" w:eastAsia="en-GB"/>
          <w14:ligatures w14:val="none"/>
        </w:rPr>
      </w:pPr>
      <w:r w:rsidRPr="00157D2B">
        <w:rPr>
          <w:rFonts w:ascii="Aptos" w:eastAsia="Times New Roman" w:hAnsi="Aptos" w:cs="Times New Roman"/>
          <w:color w:val="000000"/>
          <w:kern w:val="0"/>
          <w:lang w:val="en-HR" w:eastAsia="en-GB"/>
          <w14:ligatures w14:val="none"/>
        </w:rPr>
        <w:t xml:space="preserve">Given AI is a global existential question, educators, policymakers and parents should look to combine research outside the classroom with insights within and around it. Certain international architectures now set the moral frameworks of the digital age in the former: UNESCO’s </w:t>
      </w:r>
      <w:hyperlink r:id="rId10" w:history="1">
        <w:r w:rsidRPr="00157D2B">
          <w:rPr>
            <w:rFonts w:ascii="Aptos" w:eastAsia="Times New Roman" w:hAnsi="Aptos" w:cs="Times New Roman"/>
            <w:i/>
            <w:iCs/>
            <w:color w:val="1155CC"/>
            <w:kern w:val="0"/>
            <w:u w:val="single"/>
            <w:lang w:val="en-HR" w:eastAsia="en-GB"/>
            <w14:ligatures w14:val="none"/>
          </w:rPr>
          <w:t>Recommendation on the Ethics of Artificial Intelligence</w:t>
        </w:r>
        <w:r w:rsidRPr="00157D2B">
          <w:rPr>
            <w:rFonts w:ascii="Aptos" w:eastAsia="Times New Roman" w:hAnsi="Aptos" w:cs="Times New Roman"/>
            <w:color w:val="1155CC"/>
            <w:kern w:val="0"/>
            <w:u w:val="single"/>
            <w:lang w:val="en-HR" w:eastAsia="en-GB"/>
            <w14:ligatures w14:val="none"/>
          </w:rPr>
          <w:t xml:space="preserve"> </w:t>
        </w:r>
      </w:hyperlink>
      <w:r w:rsidRPr="00157D2B">
        <w:rPr>
          <w:rFonts w:ascii="Aptos" w:eastAsia="Times New Roman" w:hAnsi="Aptos" w:cs="Times New Roman"/>
          <w:color w:val="000000"/>
          <w:kern w:val="0"/>
          <w:lang w:val="en-HR" w:eastAsia="en-GB"/>
          <w14:ligatures w14:val="none"/>
        </w:rPr>
        <w:t xml:space="preserve">(a global normative baseline) and the emerging binding treaty commitments of the Council of Europe’s </w:t>
      </w:r>
      <w:hyperlink r:id="rId11" w:history="1">
        <w:r w:rsidRPr="00157D2B">
          <w:rPr>
            <w:rFonts w:ascii="Aptos" w:eastAsia="Times New Roman" w:hAnsi="Aptos" w:cs="Times New Roman"/>
            <w:color w:val="1155CC"/>
            <w:kern w:val="0"/>
            <w:u w:val="single"/>
            <w:lang w:val="en-HR" w:eastAsia="en-GB"/>
            <w14:ligatures w14:val="none"/>
          </w:rPr>
          <w:t>Framework Convention on AI</w:t>
        </w:r>
      </w:hyperlink>
      <w:r w:rsidRPr="00157D2B">
        <w:rPr>
          <w:rFonts w:ascii="Aptos" w:eastAsia="Times New Roman" w:hAnsi="Aptos" w:cs="Times New Roman"/>
          <w:color w:val="000000"/>
          <w:kern w:val="0"/>
          <w:lang w:val="en-HR" w:eastAsia="en-GB"/>
          <w14:ligatures w14:val="none"/>
        </w:rPr>
        <w:t>. </w:t>
      </w:r>
    </w:p>
    <w:p w14:paraId="6DFC068D" w14:textId="77777777" w:rsidR="00157D2B" w:rsidRPr="00157D2B" w:rsidRDefault="00157D2B" w:rsidP="00157D2B">
      <w:pPr>
        <w:spacing w:before="240" w:after="240"/>
        <w:rPr>
          <w:rFonts w:ascii="Aptos" w:eastAsia="Times New Roman" w:hAnsi="Aptos" w:cs="Times New Roman"/>
          <w:color w:val="000000"/>
          <w:kern w:val="0"/>
          <w:lang w:val="en-HR" w:eastAsia="en-GB"/>
          <w14:ligatures w14:val="none"/>
        </w:rPr>
      </w:pPr>
      <w:r w:rsidRPr="00157D2B">
        <w:rPr>
          <w:rFonts w:ascii="Aptos" w:eastAsia="Times New Roman" w:hAnsi="Aptos" w:cs="Times New Roman"/>
          <w:color w:val="000000"/>
          <w:kern w:val="0"/>
          <w:lang w:val="en-HR" w:eastAsia="en-GB"/>
          <w14:ligatures w14:val="none"/>
        </w:rPr>
        <w:t>This paper draws from these two recommendations in particular, and moves in five arcs: </w:t>
      </w:r>
    </w:p>
    <w:p w14:paraId="78943439" w14:textId="77777777" w:rsidR="00157D2B" w:rsidRPr="00157D2B" w:rsidRDefault="00157D2B" w:rsidP="00157D2B">
      <w:pPr>
        <w:spacing w:before="240" w:after="240"/>
        <w:rPr>
          <w:rFonts w:ascii="Aptos" w:eastAsia="Times New Roman" w:hAnsi="Aptos" w:cs="Times New Roman"/>
          <w:color w:val="000000"/>
          <w:kern w:val="0"/>
          <w:lang w:val="en-HR" w:eastAsia="en-GB"/>
          <w14:ligatures w14:val="none"/>
        </w:rPr>
      </w:pPr>
      <w:r w:rsidRPr="00157D2B">
        <w:rPr>
          <w:rFonts w:ascii="Aptos" w:eastAsia="Times New Roman" w:hAnsi="Aptos" w:cs="Times New Roman"/>
          <w:i/>
          <w:iCs/>
          <w:color w:val="000000"/>
          <w:kern w:val="0"/>
          <w:lang w:val="en-HR" w:eastAsia="en-GB"/>
          <w14:ligatures w14:val="none"/>
        </w:rPr>
        <w:t>1,</w:t>
      </w:r>
      <w:r w:rsidRPr="00157D2B">
        <w:rPr>
          <w:rFonts w:ascii="Aptos" w:eastAsia="Times New Roman" w:hAnsi="Aptos" w:cs="Times New Roman"/>
          <w:color w:val="000000"/>
          <w:kern w:val="0"/>
          <w:lang w:val="en-HR" w:eastAsia="en-GB"/>
          <w14:ligatures w14:val="none"/>
        </w:rPr>
        <w:t xml:space="preserve"> The global backdrop of AI governance; </w:t>
      </w:r>
    </w:p>
    <w:p w14:paraId="68A46936" w14:textId="77777777" w:rsidR="00157D2B" w:rsidRPr="00157D2B" w:rsidRDefault="00157D2B" w:rsidP="00157D2B">
      <w:pPr>
        <w:spacing w:before="240" w:after="240"/>
        <w:rPr>
          <w:rFonts w:ascii="Aptos" w:eastAsia="Times New Roman" w:hAnsi="Aptos" w:cs="Times New Roman"/>
          <w:color w:val="000000"/>
          <w:kern w:val="0"/>
          <w:lang w:val="en-HR" w:eastAsia="en-GB"/>
          <w14:ligatures w14:val="none"/>
        </w:rPr>
      </w:pPr>
      <w:r w:rsidRPr="00157D2B">
        <w:rPr>
          <w:rFonts w:ascii="Aptos" w:eastAsia="Times New Roman" w:hAnsi="Aptos" w:cs="Times New Roman"/>
          <w:i/>
          <w:iCs/>
          <w:color w:val="000000"/>
          <w:kern w:val="0"/>
          <w:lang w:val="en-HR" w:eastAsia="en-GB"/>
          <w14:ligatures w14:val="none"/>
        </w:rPr>
        <w:t>2</w:t>
      </w:r>
      <w:r w:rsidRPr="00157D2B">
        <w:rPr>
          <w:rFonts w:ascii="Aptos" w:eastAsia="Times New Roman" w:hAnsi="Aptos" w:cs="Times New Roman"/>
          <w:color w:val="000000"/>
          <w:kern w:val="0"/>
          <w:lang w:val="en-HR" w:eastAsia="en-GB"/>
          <w14:ligatures w14:val="none"/>
        </w:rPr>
        <w:t>, The moral horizon set by UNESCO and comparative scholarship; </w:t>
      </w:r>
    </w:p>
    <w:p w14:paraId="06653C39" w14:textId="77777777" w:rsidR="00157D2B" w:rsidRPr="00157D2B" w:rsidRDefault="00157D2B" w:rsidP="00157D2B">
      <w:pPr>
        <w:spacing w:before="240" w:after="240"/>
        <w:rPr>
          <w:rFonts w:ascii="Aptos" w:eastAsia="Times New Roman" w:hAnsi="Aptos" w:cs="Times New Roman"/>
          <w:color w:val="000000"/>
          <w:kern w:val="0"/>
          <w:lang w:val="en-HR" w:eastAsia="en-GB"/>
          <w14:ligatures w14:val="none"/>
        </w:rPr>
      </w:pPr>
      <w:r w:rsidRPr="00157D2B">
        <w:rPr>
          <w:rFonts w:ascii="Aptos" w:eastAsia="Times New Roman" w:hAnsi="Aptos" w:cs="Times New Roman"/>
          <w:i/>
          <w:iCs/>
          <w:color w:val="000000"/>
          <w:kern w:val="0"/>
          <w:lang w:val="en-HR" w:eastAsia="en-GB"/>
          <w14:ligatures w14:val="none"/>
        </w:rPr>
        <w:t>3</w:t>
      </w:r>
      <w:r w:rsidRPr="00157D2B">
        <w:rPr>
          <w:rFonts w:ascii="Aptos" w:eastAsia="Times New Roman" w:hAnsi="Aptos" w:cs="Times New Roman"/>
          <w:color w:val="000000"/>
          <w:kern w:val="0"/>
          <w:lang w:val="en-HR" w:eastAsia="en-GB"/>
          <w14:ligatures w14:val="none"/>
        </w:rPr>
        <w:t>, The UK’s domestic turn, and a critique of its institutional layer; </w:t>
      </w:r>
    </w:p>
    <w:p w14:paraId="74C416FE" w14:textId="77777777" w:rsidR="00157D2B" w:rsidRPr="00157D2B" w:rsidRDefault="00157D2B" w:rsidP="00157D2B">
      <w:pPr>
        <w:spacing w:before="240" w:after="240"/>
        <w:rPr>
          <w:rFonts w:ascii="Aptos" w:eastAsia="Times New Roman" w:hAnsi="Aptos" w:cs="Times New Roman"/>
          <w:color w:val="000000"/>
          <w:kern w:val="0"/>
          <w:lang w:val="en-HR" w:eastAsia="en-GB"/>
          <w14:ligatures w14:val="none"/>
        </w:rPr>
      </w:pPr>
      <w:r w:rsidRPr="00157D2B">
        <w:rPr>
          <w:rFonts w:ascii="Aptos" w:eastAsia="Times New Roman" w:hAnsi="Aptos" w:cs="Times New Roman"/>
          <w:i/>
          <w:iCs/>
          <w:color w:val="000000"/>
          <w:kern w:val="0"/>
          <w:lang w:val="en-HR" w:eastAsia="en-GB"/>
          <w14:ligatures w14:val="none"/>
        </w:rPr>
        <w:t>4</w:t>
      </w:r>
      <w:r w:rsidRPr="00157D2B">
        <w:rPr>
          <w:rFonts w:ascii="Aptos" w:eastAsia="Times New Roman" w:hAnsi="Aptos" w:cs="Times New Roman"/>
          <w:color w:val="000000"/>
          <w:kern w:val="0"/>
          <w:lang w:val="en-HR" w:eastAsia="en-GB"/>
          <w14:ligatures w14:val="none"/>
        </w:rPr>
        <w:t xml:space="preserve">, The deep structure of tensions and converging themes </w:t>
      </w:r>
      <w:r w:rsidRPr="00157D2B">
        <w:rPr>
          <w:rFonts w:ascii="Aptos" w:eastAsia="Times New Roman" w:hAnsi="Aptos" w:cs="Times New Roman"/>
          <w:i/>
          <w:iCs/>
          <w:color w:val="000000"/>
          <w:kern w:val="0"/>
          <w:lang w:val="en-HR" w:eastAsia="en-GB"/>
          <w14:ligatures w14:val="none"/>
        </w:rPr>
        <w:t>Saviesa</w:t>
      </w:r>
      <w:r w:rsidRPr="00157D2B">
        <w:rPr>
          <w:rFonts w:ascii="Aptos" w:eastAsia="Times New Roman" w:hAnsi="Aptos" w:cs="Times New Roman"/>
          <w:color w:val="000000"/>
          <w:kern w:val="0"/>
          <w:lang w:val="en-HR" w:eastAsia="en-GB"/>
          <w14:ligatures w14:val="none"/>
        </w:rPr>
        <w:t xml:space="preserve"> is recognising;</w:t>
      </w:r>
    </w:p>
    <w:p w14:paraId="6C5EFA27" w14:textId="6E1D2B19" w:rsidR="00157D2B" w:rsidRPr="00157D2B" w:rsidRDefault="00157D2B" w:rsidP="00190D17">
      <w:pPr>
        <w:spacing w:before="240" w:after="240"/>
        <w:rPr>
          <w:rFonts w:ascii="Aptos" w:eastAsia="Times New Roman" w:hAnsi="Aptos" w:cs="Times New Roman"/>
          <w:color w:val="000000"/>
          <w:kern w:val="0"/>
          <w:lang w:val="en-HR" w:eastAsia="en-GB"/>
          <w14:ligatures w14:val="none"/>
        </w:rPr>
      </w:pPr>
      <w:r w:rsidRPr="00157D2B">
        <w:rPr>
          <w:rFonts w:ascii="Aptos" w:eastAsia="Times New Roman" w:hAnsi="Aptos" w:cs="Times New Roman"/>
          <w:i/>
          <w:iCs/>
          <w:color w:val="000000"/>
          <w:kern w:val="0"/>
          <w:lang w:val="en-HR" w:eastAsia="en-GB"/>
          <w14:ligatures w14:val="none"/>
        </w:rPr>
        <w:t>5</w:t>
      </w:r>
      <w:r w:rsidRPr="00157D2B">
        <w:rPr>
          <w:rFonts w:ascii="Aptos" w:eastAsia="Times New Roman" w:hAnsi="Aptos" w:cs="Times New Roman"/>
          <w:color w:val="000000"/>
          <w:kern w:val="0"/>
          <w:lang w:val="en-HR" w:eastAsia="en-GB"/>
          <w14:ligatures w14:val="none"/>
        </w:rPr>
        <w:t>, A look toward the horizon of what might come next.</w:t>
      </w:r>
    </w:p>
    <w:p w14:paraId="12AF9911" w14:textId="77777777" w:rsidR="00157D2B" w:rsidRPr="00190D17" w:rsidRDefault="00157D2B" w:rsidP="00190D17">
      <w:pPr>
        <w:pStyle w:val="ListParagraph"/>
        <w:numPr>
          <w:ilvl w:val="0"/>
          <w:numId w:val="6"/>
        </w:numPr>
        <w:spacing w:before="280"/>
        <w:textAlignment w:val="baseline"/>
        <w:rPr>
          <w:rFonts w:ascii="Aptos" w:eastAsia="Times New Roman" w:hAnsi="Aptos" w:cs="Times New Roman"/>
          <w:b/>
          <w:bCs/>
          <w:color w:val="000000"/>
          <w:kern w:val="0"/>
          <w:lang w:val="en-HR" w:eastAsia="en-GB"/>
          <w14:ligatures w14:val="none"/>
        </w:rPr>
      </w:pPr>
      <w:r w:rsidRPr="00190D17">
        <w:rPr>
          <w:rFonts w:ascii="Aptos" w:eastAsia="Times New Roman" w:hAnsi="Aptos" w:cs="Times New Roman"/>
          <w:b/>
          <w:bCs/>
          <w:color w:val="000000"/>
          <w:kern w:val="0"/>
          <w:lang w:val="en-HR" w:eastAsia="en-GB"/>
          <w14:ligatures w14:val="none"/>
        </w:rPr>
        <w:lastRenderedPageBreak/>
        <w:t>The Global Backdrop: From Principles to Practice</w:t>
      </w:r>
    </w:p>
    <w:p w14:paraId="758FCE0E" w14:textId="77777777" w:rsidR="00157D2B" w:rsidRPr="00157D2B" w:rsidRDefault="00157D2B" w:rsidP="00157D2B">
      <w:pPr>
        <w:spacing w:before="240" w:after="240"/>
        <w:rPr>
          <w:rFonts w:ascii="Aptos" w:eastAsia="Times New Roman" w:hAnsi="Aptos" w:cs="Times New Roman"/>
          <w:color w:val="000000"/>
          <w:kern w:val="0"/>
          <w:lang w:val="en-HR" w:eastAsia="en-GB"/>
          <w14:ligatures w14:val="none"/>
        </w:rPr>
      </w:pPr>
      <w:r w:rsidRPr="00157D2B">
        <w:rPr>
          <w:rFonts w:ascii="Aptos" w:eastAsia="Times New Roman" w:hAnsi="Aptos" w:cs="Times New Roman"/>
          <w:color w:val="000000"/>
          <w:kern w:val="0"/>
          <w:lang w:val="en-HR" w:eastAsia="en-GB"/>
          <w14:ligatures w14:val="none"/>
        </w:rPr>
        <w:t xml:space="preserve">Regulation of AI no longer lingers in theory. In Europe, the </w:t>
      </w:r>
      <w:r w:rsidRPr="00157D2B">
        <w:rPr>
          <w:rFonts w:ascii="Aptos" w:eastAsia="Times New Roman" w:hAnsi="Aptos" w:cs="Times New Roman"/>
          <w:i/>
          <w:iCs/>
          <w:color w:val="000000"/>
          <w:kern w:val="0"/>
          <w:lang w:val="en-HR" w:eastAsia="en-GB"/>
          <w14:ligatures w14:val="none"/>
        </w:rPr>
        <w:t>EU AI Act</w:t>
      </w:r>
      <w:r w:rsidRPr="00157D2B">
        <w:rPr>
          <w:rFonts w:ascii="Aptos" w:eastAsia="Times New Roman" w:hAnsi="Aptos" w:cs="Times New Roman"/>
          <w:color w:val="000000"/>
          <w:kern w:val="0"/>
          <w:lang w:val="en-HR" w:eastAsia="en-GB"/>
          <w14:ligatures w14:val="none"/>
        </w:rPr>
        <w:t xml:space="preserve"> now stands as a sweeping horizontal statute regulating prohibited systems, high-risk system obligations, and general-purpose AI, with phases of enforcement that roll out over 2025 to 2027. The law’s implications for edtech are profound: many school tools may fall under obligations of transparency, auditability, and risk mitigation.</w:t>
      </w:r>
    </w:p>
    <w:p w14:paraId="28E0E7B9" w14:textId="77777777" w:rsidR="00157D2B" w:rsidRPr="00157D2B" w:rsidRDefault="00157D2B" w:rsidP="00157D2B">
      <w:pPr>
        <w:spacing w:before="240" w:after="240"/>
        <w:rPr>
          <w:rFonts w:ascii="Aptos" w:eastAsia="Times New Roman" w:hAnsi="Aptos" w:cs="Times New Roman"/>
          <w:color w:val="000000"/>
          <w:kern w:val="0"/>
          <w:lang w:val="en-HR" w:eastAsia="en-GB"/>
          <w14:ligatures w14:val="none"/>
        </w:rPr>
      </w:pPr>
      <w:r w:rsidRPr="00157D2B">
        <w:rPr>
          <w:rFonts w:ascii="Aptos" w:eastAsia="Times New Roman" w:hAnsi="Aptos" w:cs="Times New Roman"/>
          <w:color w:val="000000"/>
          <w:kern w:val="0"/>
          <w:lang w:val="en-HR" w:eastAsia="en-GB"/>
          <w14:ligatures w14:val="none"/>
        </w:rPr>
        <w:t xml:space="preserve">Meanwhile, the </w:t>
      </w:r>
      <w:r w:rsidRPr="00157D2B">
        <w:rPr>
          <w:rFonts w:ascii="Aptos" w:eastAsia="Times New Roman" w:hAnsi="Aptos" w:cs="Times New Roman"/>
          <w:i/>
          <w:iCs/>
          <w:color w:val="000000"/>
          <w:kern w:val="0"/>
          <w:lang w:val="en-HR" w:eastAsia="en-GB"/>
          <w14:ligatures w14:val="none"/>
        </w:rPr>
        <w:t>Council of Europe’s Framework Convention on Artificial Intelligence</w:t>
      </w:r>
      <w:r w:rsidRPr="00157D2B">
        <w:rPr>
          <w:rFonts w:ascii="Aptos" w:eastAsia="Times New Roman" w:hAnsi="Aptos" w:cs="Times New Roman"/>
          <w:color w:val="000000"/>
          <w:kern w:val="0"/>
          <w:lang w:val="en-HR" w:eastAsia="en-GB"/>
          <w14:ligatures w14:val="none"/>
        </w:rPr>
        <w:t xml:space="preserve">, opened for signature in September 2024, begins to anchor AI governance in binding human-rights language—making ethical AI a matter of treaty obligation rather than soft guidance. UNESCO’s 2021 </w:t>
      </w:r>
      <w:r w:rsidRPr="00157D2B">
        <w:rPr>
          <w:rFonts w:ascii="Aptos" w:eastAsia="Times New Roman" w:hAnsi="Aptos" w:cs="Times New Roman"/>
          <w:i/>
          <w:iCs/>
          <w:color w:val="000000"/>
          <w:kern w:val="0"/>
          <w:lang w:val="en-HR" w:eastAsia="en-GB"/>
          <w14:ligatures w14:val="none"/>
        </w:rPr>
        <w:t>Recommendation on the Ethics of Artificial Intelligence</w:t>
      </w:r>
      <w:r w:rsidRPr="00157D2B">
        <w:rPr>
          <w:rFonts w:ascii="Aptos" w:eastAsia="Times New Roman" w:hAnsi="Aptos" w:cs="Times New Roman"/>
          <w:color w:val="000000"/>
          <w:kern w:val="0"/>
          <w:lang w:val="en-HR" w:eastAsia="en-GB"/>
          <w14:ligatures w14:val="none"/>
        </w:rPr>
        <w:t>, already endorsed by 194 states, functions as a moral north star: it demands transparency, accountability, fairness, environmental sustainability, human oversight and more. </w:t>
      </w:r>
    </w:p>
    <w:p w14:paraId="5726689E" w14:textId="77777777" w:rsidR="00157D2B" w:rsidRPr="00157D2B" w:rsidRDefault="00157D2B" w:rsidP="00157D2B">
      <w:pPr>
        <w:spacing w:before="240" w:after="240"/>
        <w:rPr>
          <w:rFonts w:ascii="Aptos" w:eastAsia="Times New Roman" w:hAnsi="Aptos" w:cs="Times New Roman"/>
          <w:color w:val="000000"/>
          <w:kern w:val="0"/>
          <w:lang w:val="en-HR" w:eastAsia="en-GB"/>
          <w14:ligatures w14:val="none"/>
        </w:rPr>
      </w:pPr>
      <w:r w:rsidRPr="00157D2B">
        <w:rPr>
          <w:rFonts w:ascii="Aptos" w:eastAsia="Times New Roman" w:hAnsi="Aptos" w:cs="Times New Roman"/>
          <w:color w:val="000000"/>
          <w:kern w:val="0"/>
          <w:lang w:val="en-HR" w:eastAsia="en-GB"/>
          <w14:ligatures w14:val="none"/>
        </w:rPr>
        <w:t>In education, this becomes a baseline for judging whether local practices measure up.</w:t>
      </w:r>
    </w:p>
    <w:p w14:paraId="77884904" w14:textId="77777777" w:rsidR="00157D2B" w:rsidRPr="00157D2B" w:rsidRDefault="00157D2B" w:rsidP="00157D2B">
      <w:pPr>
        <w:spacing w:before="240" w:after="240"/>
        <w:rPr>
          <w:rFonts w:ascii="Aptos" w:eastAsia="Times New Roman" w:hAnsi="Aptos" w:cs="Times New Roman"/>
          <w:color w:val="000000"/>
          <w:kern w:val="0"/>
          <w:lang w:val="en-HR" w:eastAsia="en-GB"/>
          <w14:ligatures w14:val="none"/>
        </w:rPr>
      </w:pPr>
      <w:r w:rsidRPr="00157D2B">
        <w:rPr>
          <w:rFonts w:ascii="Aptos" w:eastAsia="Times New Roman" w:hAnsi="Aptos" w:cs="Times New Roman"/>
          <w:color w:val="000000"/>
          <w:kern w:val="0"/>
          <w:lang w:val="en-HR" w:eastAsia="en-GB"/>
          <w14:ligatures w14:val="none"/>
        </w:rPr>
        <w:t xml:space="preserve">Into this governance lattice enters this year’s </w:t>
      </w:r>
      <w:hyperlink r:id="rId12" w:history="1">
        <w:r w:rsidRPr="00157D2B">
          <w:rPr>
            <w:rFonts w:ascii="Aptos" w:eastAsia="Times New Roman" w:hAnsi="Aptos" w:cs="Times New Roman"/>
            <w:i/>
            <w:iCs/>
            <w:color w:val="1155CC"/>
            <w:kern w:val="0"/>
            <w:u w:val="single"/>
            <w:lang w:val="en-HR" w:eastAsia="en-GB"/>
            <w14:ligatures w14:val="none"/>
          </w:rPr>
          <w:t>Stanford AI Index Report</w:t>
        </w:r>
      </w:hyperlink>
      <w:r w:rsidRPr="00157D2B">
        <w:rPr>
          <w:rFonts w:ascii="Aptos" w:eastAsia="Times New Roman" w:hAnsi="Aptos" w:cs="Times New Roman"/>
          <w:i/>
          <w:iCs/>
          <w:color w:val="000000"/>
          <w:kern w:val="0"/>
          <w:lang w:val="en-HR" w:eastAsia="en-GB"/>
          <w14:ligatures w14:val="none"/>
        </w:rPr>
        <w:t xml:space="preserve"> (2025),</w:t>
      </w:r>
      <w:r w:rsidRPr="00157D2B">
        <w:rPr>
          <w:rFonts w:ascii="Aptos" w:eastAsia="Times New Roman" w:hAnsi="Aptos" w:cs="Times New Roman"/>
          <w:color w:val="000000"/>
          <w:kern w:val="0"/>
          <w:lang w:val="en-HR" w:eastAsia="en-GB"/>
          <w14:ligatures w14:val="none"/>
        </w:rPr>
        <w:t xml:space="preserve"> the most comprehensive edition yet. It traces global accelerations: corporate private AI investment surged to US $252.3 billion in 2024, up circa 26 percent year-on-year. The Index expands its coverage of AI’s role in science, medicine, and social systems, and includes new metrics on corporate adoption of responsible AI practices. The report also shows that while education lags behind sectors like finance and healthcare in deploying AI, it is catching up rapidly—and that demand for AI literacy is among the fastest-growing skill vectors globally.</w:t>
      </w:r>
    </w:p>
    <w:p w14:paraId="42661391" w14:textId="77777777" w:rsidR="00157D2B" w:rsidRPr="00157D2B" w:rsidRDefault="00157D2B" w:rsidP="00157D2B">
      <w:pPr>
        <w:spacing w:before="240" w:after="240"/>
        <w:rPr>
          <w:rFonts w:ascii="Aptos" w:eastAsia="Times New Roman" w:hAnsi="Aptos" w:cs="Times New Roman"/>
          <w:color w:val="000000"/>
          <w:kern w:val="0"/>
          <w:lang w:val="en-HR" w:eastAsia="en-GB"/>
          <w14:ligatures w14:val="none"/>
        </w:rPr>
      </w:pPr>
      <w:r w:rsidRPr="00157D2B">
        <w:rPr>
          <w:rFonts w:ascii="Aptos" w:eastAsia="Times New Roman" w:hAnsi="Aptos" w:cs="Times New Roman"/>
          <w:color w:val="000000"/>
          <w:kern w:val="0"/>
          <w:shd w:val="clear" w:color="auto" w:fill="FFFFFF"/>
          <w:lang w:val="en-HR" w:eastAsia="en-GB"/>
          <w14:ligatures w14:val="none"/>
        </w:rPr>
        <w:t>Tellingly, it also confirms just how embedded in our lives AI has become: in 2023, the FDA approved 223 AI-enabled medical devices, up from just six in 2015. At the same time, it finds responsible AI is evolving unevenly whilst AI optimism is deeply regional. Governments are not blind to this imperfect system. Chapter 6 of the Index reports legislative references to AI across 75 countries has seen a ninefold rise since 2016. </w:t>
      </w:r>
    </w:p>
    <w:p w14:paraId="434A4ED5" w14:textId="5B94DECF" w:rsidR="00157D2B" w:rsidRPr="00157D2B" w:rsidRDefault="00157D2B" w:rsidP="00190D17">
      <w:pPr>
        <w:spacing w:before="240" w:after="240"/>
        <w:rPr>
          <w:rFonts w:ascii="Aptos" w:eastAsia="Times New Roman" w:hAnsi="Aptos" w:cs="Times New Roman"/>
          <w:color w:val="000000"/>
          <w:kern w:val="0"/>
          <w:lang w:val="en-HR" w:eastAsia="en-GB"/>
          <w14:ligatures w14:val="none"/>
        </w:rPr>
      </w:pPr>
      <w:r w:rsidRPr="00157D2B">
        <w:rPr>
          <w:rFonts w:ascii="Aptos" w:eastAsia="Times New Roman" w:hAnsi="Aptos" w:cs="Times New Roman"/>
          <w:color w:val="000000"/>
          <w:kern w:val="0"/>
          <w:shd w:val="clear" w:color="auto" w:fill="FFFFFF"/>
          <w:lang w:val="en-HR" w:eastAsia="en-GB"/>
          <w14:ligatures w14:val="none"/>
        </w:rPr>
        <w:t>The world is no longer debating AI in the abstract; it is legislating it. Yet those in education know first hand the tension between legislation, innovation, and human guidance; a moral compass is especially needed.</w:t>
      </w:r>
    </w:p>
    <w:p w14:paraId="14BF20C4" w14:textId="77777777" w:rsidR="00157D2B" w:rsidRPr="00190D17" w:rsidRDefault="00157D2B" w:rsidP="00190D17">
      <w:pPr>
        <w:pStyle w:val="ListParagraph"/>
        <w:numPr>
          <w:ilvl w:val="0"/>
          <w:numId w:val="6"/>
        </w:numPr>
        <w:spacing w:before="280"/>
        <w:textAlignment w:val="baseline"/>
        <w:rPr>
          <w:rFonts w:ascii="Aptos" w:eastAsia="Times New Roman" w:hAnsi="Aptos" w:cs="Times New Roman"/>
          <w:b/>
          <w:bCs/>
          <w:color w:val="000000"/>
          <w:kern w:val="0"/>
          <w:lang w:val="en-HR" w:eastAsia="en-GB"/>
          <w14:ligatures w14:val="none"/>
        </w:rPr>
      </w:pPr>
      <w:r w:rsidRPr="00190D17">
        <w:rPr>
          <w:rFonts w:ascii="Aptos" w:eastAsia="Times New Roman" w:hAnsi="Aptos" w:cs="Times New Roman"/>
          <w:b/>
          <w:bCs/>
          <w:color w:val="000000"/>
          <w:kern w:val="0"/>
          <w:lang w:val="en-HR" w:eastAsia="en-GB"/>
          <w14:ligatures w14:val="none"/>
        </w:rPr>
        <w:t>The Normative Horizon—UNESCO and the Ethics of Educational AI</w:t>
      </w:r>
    </w:p>
    <w:p w14:paraId="0358BB73" w14:textId="77777777" w:rsidR="00157D2B" w:rsidRPr="00157D2B" w:rsidRDefault="00157D2B" w:rsidP="00157D2B">
      <w:pPr>
        <w:spacing w:before="240" w:after="240"/>
        <w:rPr>
          <w:rFonts w:ascii="Aptos" w:eastAsia="Times New Roman" w:hAnsi="Aptos" w:cs="Times New Roman"/>
          <w:color w:val="000000"/>
          <w:kern w:val="0"/>
          <w:lang w:val="en-HR" w:eastAsia="en-GB"/>
          <w14:ligatures w14:val="none"/>
        </w:rPr>
      </w:pPr>
      <w:r w:rsidRPr="00157D2B">
        <w:rPr>
          <w:rFonts w:ascii="Aptos" w:eastAsia="Times New Roman" w:hAnsi="Aptos" w:cs="Times New Roman"/>
          <w:color w:val="000000"/>
          <w:kern w:val="0"/>
          <w:lang w:val="en-HR" w:eastAsia="en-GB"/>
          <w14:ligatures w14:val="none"/>
        </w:rPr>
        <w:t xml:space="preserve">In the fulcrum of technical possibility, UNESCO’s frameworks aim to supply that moral compass. Its </w:t>
      </w:r>
      <w:r w:rsidRPr="00157D2B">
        <w:rPr>
          <w:rFonts w:ascii="Aptos" w:eastAsia="Times New Roman" w:hAnsi="Aptos" w:cs="Times New Roman"/>
          <w:i/>
          <w:iCs/>
          <w:color w:val="000000"/>
          <w:kern w:val="0"/>
          <w:lang w:val="en-HR" w:eastAsia="en-GB"/>
          <w14:ligatures w14:val="none"/>
        </w:rPr>
        <w:t>Recommendation on the Ethics of Artificial Intelligence</w:t>
      </w:r>
      <w:r w:rsidRPr="00157D2B">
        <w:rPr>
          <w:rFonts w:ascii="Aptos" w:eastAsia="Times New Roman" w:hAnsi="Aptos" w:cs="Times New Roman"/>
          <w:color w:val="000000"/>
          <w:kern w:val="0"/>
          <w:lang w:val="en-HR" w:eastAsia="en-GB"/>
          <w14:ligatures w14:val="none"/>
        </w:rPr>
        <w:t xml:space="preserve"> enshrines principles that are especially potent in educational settings: human dignity, equity, transparency, inclusiveness, data protection, accountability, and sustainability. For learners—particularly minors—these are not abstract guardrails but rights.</w:t>
      </w:r>
    </w:p>
    <w:p w14:paraId="7E1BDFC0" w14:textId="77777777" w:rsidR="00157D2B" w:rsidRPr="00157D2B" w:rsidRDefault="00157D2B" w:rsidP="00157D2B">
      <w:pPr>
        <w:spacing w:before="240" w:after="240"/>
        <w:rPr>
          <w:rFonts w:ascii="Aptos" w:eastAsia="Times New Roman" w:hAnsi="Aptos" w:cs="Times New Roman"/>
          <w:color w:val="000000"/>
          <w:kern w:val="0"/>
          <w:lang w:val="en-HR" w:eastAsia="en-GB"/>
          <w14:ligatures w14:val="none"/>
        </w:rPr>
      </w:pPr>
      <w:r w:rsidRPr="00157D2B">
        <w:rPr>
          <w:rFonts w:ascii="Aptos" w:eastAsia="Times New Roman" w:hAnsi="Aptos" w:cs="Times New Roman"/>
          <w:color w:val="000000"/>
          <w:kern w:val="0"/>
          <w:lang w:val="en-HR" w:eastAsia="en-GB"/>
          <w14:ligatures w14:val="none"/>
        </w:rPr>
        <w:t xml:space="preserve">UNESCO’s 2025 anthology, </w:t>
      </w:r>
      <w:hyperlink r:id="rId13" w:history="1">
        <w:r w:rsidRPr="00157D2B">
          <w:rPr>
            <w:rFonts w:ascii="Aptos" w:eastAsia="Times New Roman" w:hAnsi="Aptos" w:cs="Times New Roman"/>
            <w:i/>
            <w:iCs/>
            <w:color w:val="1155CC"/>
            <w:kern w:val="0"/>
            <w:u w:val="single"/>
            <w:lang w:val="en-HR" w:eastAsia="en-GB"/>
            <w14:ligatures w14:val="none"/>
          </w:rPr>
          <w:t>AI and the Future of Education: Disruptions, Dilemmas and Directions</w:t>
        </w:r>
      </w:hyperlink>
      <w:r w:rsidRPr="00157D2B">
        <w:rPr>
          <w:rFonts w:ascii="Aptos" w:eastAsia="Times New Roman" w:hAnsi="Aptos" w:cs="Times New Roman"/>
          <w:color w:val="000000"/>
          <w:kern w:val="0"/>
          <w:lang w:val="en-HR" w:eastAsia="en-GB"/>
          <w14:ligatures w14:val="none"/>
        </w:rPr>
        <w:t>, expands the conversation into pedagogical, cultural, and institutional registers. Essays within it critique the so-called automation anxiety that reduces education to tasks, and propose a resilient vision of teacher sovereignty—where algorithmic suggestions are mediated, contextualised, and (if necessary) resisted by human judgment. The anthology is a chorus of global perspectives: Latin American critiques of data colonialism, African voices resisting epistemic homogenisation, and East Asian experiments in AI-supported classrooms.</w:t>
      </w:r>
    </w:p>
    <w:p w14:paraId="6965A5DD" w14:textId="7B98EFDD" w:rsidR="00190D17" w:rsidRPr="00157D2B" w:rsidRDefault="00157D2B" w:rsidP="00190D17">
      <w:pPr>
        <w:spacing w:before="240" w:after="240"/>
        <w:rPr>
          <w:rFonts w:ascii="Aptos" w:eastAsia="Times New Roman" w:hAnsi="Aptos" w:cs="Times New Roman"/>
          <w:color w:val="000000"/>
          <w:kern w:val="0"/>
          <w:lang w:val="en-HR" w:eastAsia="en-GB"/>
          <w14:ligatures w14:val="none"/>
        </w:rPr>
      </w:pPr>
      <w:r w:rsidRPr="00157D2B">
        <w:rPr>
          <w:rFonts w:ascii="Aptos" w:eastAsia="Times New Roman" w:hAnsi="Aptos" w:cs="Times New Roman"/>
          <w:color w:val="000000"/>
          <w:kern w:val="0"/>
          <w:lang w:val="en-HR" w:eastAsia="en-GB"/>
          <w14:ligatures w14:val="none"/>
        </w:rPr>
        <w:lastRenderedPageBreak/>
        <w:t>Key normative tensions surface: efficiency and scale often conflict with diversity and agency. UNESCO warns against a homogenised AI that disables local cultural difference, arguing that inclusive AI must be designed for linguistic plurality, socio-cultural variation, and difference of pedagogy. The “ethics as add-on” approach will not suffice; inclusion must be woven into the architecture of AI systems, it posits.</w:t>
      </w:r>
    </w:p>
    <w:p w14:paraId="0FE49EEE" w14:textId="77777777" w:rsidR="00157D2B" w:rsidRPr="00190D17" w:rsidRDefault="00157D2B" w:rsidP="00190D17">
      <w:pPr>
        <w:pStyle w:val="ListParagraph"/>
        <w:numPr>
          <w:ilvl w:val="0"/>
          <w:numId w:val="6"/>
        </w:numPr>
        <w:spacing w:before="280"/>
        <w:textAlignment w:val="baseline"/>
        <w:rPr>
          <w:rFonts w:ascii="Aptos" w:eastAsia="Times New Roman" w:hAnsi="Aptos" w:cs="Times New Roman"/>
          <w:b/>
          <w:bCs/>
          <w:color w:val="000000"/>
          <w:kern w:val="0"/>
          <w:lang w:val="en-HR" w:eastAsia="en-GB"/>
          <w14:ligatures w14:val="none"/>
        </w:rPr>
      </w:pPr>
      <w:r w:rsidRPr="00190D17">
        <w:rPr>
          <w:rFonts w:ascii="Aptos" w:eastAsia="Times New Roman" w:hAnsi="Aptos" w:cs="Times New Roman"/>
          <w:b/>
          <w:bCs/>
          <w:color w:val="000000"/>
          <w:kern w:val="0"/>
          <w:lang w:val="en-HR" w:eastAsia="en-GB"/>
          <w14:ligatures w14:val="none"/>
        </w:rPr>
        <w:t>The UK’s Generative AI Policy in Education in 2025</w:t>
      </w:r>
    </w:p>
    <w:p w14:paraId="50B1BC25" w14:textId="77777777" w:rsidR="00157D2B" w:rsidRPr="00157D2B" w:rsidRDefault="00157D2B" w:rsidP="00157D2B">
      <w:pPr>
        <w:spacing w:before="240" w:after="240"/>
        <w:rPr>
          <w:rFonts w:ascii="Aptos" w:eastAsia="Times New Roman" w:hAnsi="Aptos" w:cs="Times New Roman"/>
          <w:color w:val="000000"/>
          <w:kern w:val="0"/>
          <w:lang w:val="en-HR" w:eastAsia="en-GB"/>
          <w14:ligatures w14:val="none"/>
        </w:rPr>
      </w:pPr>
      <w:r w:rsidRPr="00157D2B">
        <w:rPr>
          <w:rFonts w:ascii="Aptos" w:eastAsia="Times New Roman" w:hAnsi="Aptos" w:cs="Times New Roman"/>
          <w:color w:val="000000"/>
          <w:kern w:val="0"/>
          <w:lang w:val="en-HR" w:eastAsia="en-GB"/>
          <w14:ligatures w14:val="none"/>
        </w:rPr>
        <w:t>If UNESCO draws the map, to what extent are national systems expected to chart routes that respect its topography? It varies.</w:t>
      </w:r>
    </w:p>
    <w:p w14:paraId="4D8BAD4F" w14:textId="77777777" w:rsidR="00157D2B" w:rsidRPr="00157D2B" w:rsidRDefault="00157D2B" w:rsidP="00157D2B">
      <w:pPr>
        <w:spacing w:before="240" w:after="240"/>
        <w:rPr>
          <w:rFonts w:ascii="Aptos" w:eastAsia="Times New Roman" w:hAnsi="Aptos" w:cs="Times New Roman"/>
          <w:color w:val="000000"/>
          <w:kern w:val="0"/>
          <w:lang w:val="en-HR" w:eastAsia="en-GB"/>
          <w14:ligatures w14:val="none"/>
        </w:rPr>
      </w:pPr>
      <w:r w:rsidRPr="00157D2B">
        <w:rPr>
          <w:rFonts w:ascii="Aptos" w:eastAsia="Times New Roman" w:hAnsi="Aptos" w:cs="Times New Roman"/>
          <w:color w:val="000000"/>
          <w:kern w:val="0"/>
          <w:shd w:val="clear" w:color="auto" w:fill="FFFFFF"/>
          <w:lang w:val="en-HR" w:eastAsia="en-GB"/>
          <w14:ligatures w14:val="none"/>
        </w:rPr>
        <w:t xml:space="preserve">This year, 2025, </w:t>
      </w:r>
      <w:r w:rsidRPr="00157D2B">
        <w:rPr>
          <w:rFonts w:ascii="Aptos" w:eastAsia="Times New Roman" w:hAnsi="Aptos" w:cs="Times New Roman"/>
          <w:color w:val="000000"/>
          <w:kern w:val="0"/>
          <w:lang w:val="en-HR" w:eastAsia="en-GB"/>
          <w14:ligatures w14:val="none"/>
        </w:rPr>
        <w:t xml:space="preserve">was a turning moment in UK education policy. The Department of Education (DfE) published </w:t>
      </w:r>
      <w:hyperlink r:id="rId14" w:history="1">
        <w:r w:rsidRPr="00157D2B">
          <w:rPr>
            <w:rFonts w:ascii="Aptos" w:eastAsia="Times New Roman" w:hAnsi="Aptos" w:cs="Times New Roman"/>
            <w:i/>
            <w:iCs/>
            <w:color w:val="1155CC"/>
            <w:kern w:val="0"/>
            <w:u w:val="single"/>
            <w:lang w:val="en-HR" w:eastAsia="en-GB"/>
            <w14:ligatures w14:val="none"/>
          </w:rPr>
          <w:t>Generative Artificial Intelligence (AI) in Education</w:t>
        </w:r>
      </w:hyperlink>
      <w:r w:rsidRPr="00157D2B">
        <w:rPr>
          <w:rFonts w:ascii="Aptos" w:eastAsia="Times New Roman" w:hAnsi="Aptos" w:cs="Times New Roman"/>
          <w:color w:val="000000"/>
          <w:kern w:val="0"/>
          <w:lang w:val="en-HR" w:eastAsia="en-GB"/>
          <w14:ligatures w14:val="none"/>
        </w:rPr>
        <w:t>, positioning generative AI as a tool to reduce administrative burden, enable personalised support, and enrich teaching (while insisting that safety, transparency, and legal compliance remain non-negotiable).</w:t>
      </w:r>
    </w:p>
    <w:p w14:paraId="02848FB0" w14:textId="77777777" w:rsidR="00157D2B" w:rsidRPr="00157D2B" w:rsidRDefault="00157D2B" w:rsidP="00157D2B">
      <w:pPr>
        <w:spacing w:before="240" w:after="240"/>
        <w:rPr>
          <w:rFonts w:ascii="Aptos" w:eastAsia="Times New Roman" w:hAnsi="Aptos" w:cs="Times New Roman"/>
          <w:color w:val="000000"/>
          <w:kern w:val="0"/>
          <w:lang w:val="en-HR" w:eastAsia="en-GB"/>
          <w14:ligatures w14:val="none"/>
        </w:rPr>
      </w:pPr>
      <w:r w:rsidRPr="00157D2B">
        <w:rPr>
          <w:rFonts w:ascii="Aptos" w:eastAsia="Times New Roman" w:hAnsi="Aptos" w:cs="Times New Roman"/>
          <w:color w:val="000000"/>
          <w:kern w:val="0"/>
          <w:lang w:val="en-HR" w:eastAsia="en-GB"/>
          <w14:ligatures w14:val="none"/>
        </w:rPr>
        <w:t>The policy is explicit: AI is not an afterthought, but an operational reality to be managed within existing frameworks.</w:t>
      </w:r>
    </w:p>
    <w:p w14:paraId="3288FA33" w14:textId="77777777" w:rsidR="00157D2B" w:rsidRPr="00157D2B" w:rsidRDefault="00157D2B" w:rsidP="00157D2B">
      <w:pPr>
        <w:spacing w:before="240" w:after="240"/>
        <w:rPr>
          <w:rFonts w:ascii="Aptos" w:eastAsia="Times New Roman" w:hAnsi="Aptos" w:cs="Times New Roman"/>
          <w:color w:val="000000"/>
          <w:kern w:val="0"/>
          <w:lang w:val="en-HR" w:eastAsia="en-GB"/>
          <w14:ligatures w14:val="none"/>
        </w:rPr>
      </w:pPr>
      <w:r w:rsidRPr="00157D2B">
        <w:rPr>
          <w:rFonts w:ascii="Aptos" w:eastAsia="Times New Roman" w:hAnsi="Aptos" w:cs="Times New Roman"/>
          <w:color w:val="000000"/>
          <w:kern w:val="0"/>
          <w:lang w:val="en-HR" w:eastAsia="en-GB"/>
          <w14:ligatures w14:val="none"/>
        </w:rPr>
        <w:t>It invites—but, importantly, does not require—schools and colleges to adopt local AI policies, so long as they remain consistent with legal duties. Crucially, the DfE also signals willingness to collaborate with the education sector as understanding evolves, offering guidance, pilots, and case studies.</w:t>
      </w:r>
    </w:p>
    <w:p w14:paraId="4BF35743" w14:textId="77777777" w:rsidR="00157D2B" w:rsidRPr="00157D2B" w:rsidRDefault="00157D2B" w:rsidP="00157D2B">
      <w:pPr>
        <w:spacing w:before="240" w:after="240"/>
        <w:rPr>
          <w:rFonts w:ascii="Aptos" w:eastAsia="Times New Roman" w:hAnsi="Aptos" w:cs="Times New Roman"/>
          <w:color w:val="000000"/>
          <w:kern w:val="0"/>
          <w:lang w:val="en-HR" w:eastAsia="en-GB"/>
          <w14:ligatures w14:val="none"/>
        </w:rPr>
      </w:pPr>
      <w:r w:rsidRPr="00157D2B">
        <w:rPr>
          <w:rFonts w:ascii="Aptos" w:eastAsia="Times New Roman" w:hAnsi="Aptos" w:cs="Times New Roman"/>
          <w:color w:val="000000"/>
          <w:kern w:val="0"/>
          <w:lang w:val="en-HR" w:eastAsia="en-GB"/>
          <w14:ligatures w14:val="none"/>
        </w:rPr>
        <w:t>In parallel, the DfE spon</w:t>
      </w:r>
      <w:r w:rsidRPr="00157D2B">
        <w:rPr>
          <w:rFonts w:ascii="Aptos" w:eastAsia="Times New Roman" w:hAnsi="Aptos" w:cs="Times New Roman"/>
          <w:color w:val="000000"/>
          <w:kern w:val="0"/>
          <w:shd w:val="clear" w:color="auto" w:fill="FFFFFF"/>
          <w:lang w:val="en-HR" w:eastAsia="en-GB"/>
          <w14:ligatures w14:val="none"/>
        </w:rPr>
        <w:t>sored reviews of 21 “early adopter” scho</w:t>
      </w:r>
      <w:r w:rsidRPr="00157D2B">
        <w:rPr>
          <w:rFonts w:ascii="Aptos" w:eastAsia="Times New Roman" w:hAnsi="Aptos" w:cs="Times New Roman"/>
          <w:color w:val="000000"/>
          <w:kern w:val="0"/>
          <w:lang w:val="en-HR" w:eastAsia="en-GB"/>
          <w14:ligatures w14:val="none"/>
        </w:rPr>
        <w:t>ols and FE colleges through Ofsted—although no public records can be found listing these institutions. Still, reported findings emphasise common use-cases (curriculum planning, resource generation, administrative streamlining) and a bold message: “the biggest risk is doing nothing.” The report also highlights enhancements in engagement and support for students with SEND (special educational needs and disabilities), especially when tailored materials are generated by AI.</w:t>
      </w:r>
    </w:p>
    <w:p w14:paraId="516782ED" w14:textId="77777777" w:rsidR="00157D2B" w:rsidRPr="00157D2B" w:rsidRDefault="00157D2B" w:rsidP="00157D2B">
      <w:pPr>
        <w:spacing w:before="240" w:after="240"/>
        <w:rPr>
          <w:rFonts w:ascii="Aptos" w:eastAsia="Times New Roman" w:hAnsi="Aptos" w:cs="Times New Roman"/>
          <w:color w:val="000000"/>
          <w:kern w:val="0"/>
          <w:lang w:val="en-HR" w:eastAsia="en-GB"/>
          <w14:ligatures w14:val="none"/>
        </w:rPr>
      </w:pPr>
      <w:r w:rsidRPr="00157D2B">
        <w:rPr>
          <w:rFonts w:ascii="Aptos" w:eastAsia="Times New Roman" w:hAnsi="Aptos" w:cs="Times New Roman"/>
          <w:color w:val="000000"/>
          <w:kern w:val="0"/>
          <w:lang w:val="en-HR" w:eastAsia="en-GB"/>
          <w14:ligatures w14:val="none"/>
        </w:rPr>
        <w:t>Still, the policy recognises constraints: connectivity, inequality, reliability and safety remain substantial challenges. The DfE pledges continued monitoring and sector partnership to calibrate guidance. The UK model thus favours distributed governance: national principle and local discretion, which resembles a balancing act between coherence and adaptation.</w:t>
      </w:r>
    </w:p>
    <w:p w14:paraId="0B1692EC" w14:textId="77777777" w:rsidR="00157D2B" w:rsidRPr="00157D2B" w:rsidRDefault="00157D2B" w:rsidP="00157D2B">
      <w:pPr>
        <w:spacing w:before="240" w:after="240"/>
        <w:rPr>
          <w:rFonts w:ascii="Aptos" w:eastAsia="Times New Roman" w:hAnsi="Aptos" w:cs="Times New Roman"/>
          <w:color w:val="000000"/>
          <w:kern w:val="0"/>
          <w:lang w:val="en-HR" w:eastAsia="en-GB"/>
          <w14:ligatures w14:val="none"/>
        </w:rPr>
      </w:pPr>
      <w:r w:rsidRPr="00157D2B">
        <w:rPr>
          <w:rFonts w:ascii="Aptos" w:eastAsia="Times New Roman" w:hAnsi="Aptos" w:cs="Times New Roman"/>
          <w:color w:val="000000"/>
          <w:kern w:val="0"/>
          <w:lang w:val="en-HR" w:eastAsia="en-GB"/>
          <w14:ligatures w14:val="none"/>
        </w:rPr>
        <w:t>Policy must become practice, and practice demands scaffolding across institutional layers.</w:t>
      </w:r>
    </w:p>
    <w:p w14:paraId="7C0F0C85" w14:textId="77777777" w:rsidR="00157D2B" w:rsidRPr="00157D2B" w:rsidRDefault="00157D2B" w:rsidP="00157D2B">
      <w:pPr>
        <w:spacing w:before="240" w:after="240"/>
        <w:rPr>
          <w:rFonts w:ascii="Aptos" w:eastAsia="Times New Roman" w:hAnsi="Aptos" w:cs="Times New Roman"/>
          <w:color w:val="000000"/>
          <w:kern w:val="0"/>
          <w:lang w:val="en-HR" w:eastAsia="en-GB"/>
          <w14:ligatures w14:val="none"/>
        </w:rPr>
      </w:pPr>
      <w:r w:rsidRPr="00157D2B">
        <w:rPr>
          <w:rFonts w:ascii="Aptos" w:eastAsia="Times New Roman" w:hAnsi="Aptos" w:cs="Times New Roman"/>
          <w:color w:val="000000"/>
          <w:kern w:val="0"/>
          <w:shd w:val="clear" w:color="auto" w:fill="FFFFFF"/>
          <w:lang w:val="en-HR" w:eastAsia="en-GB"/>
          <w14:ligatures w14:val="none"/>
        </w:rPr>
        <w:t xml:space="preserve">The Education Data Hub’s </w:t>
      </w:r>
      <w:hyperlink r:id="rId15" w:history="1">
        <w:r w:rsidRPr="00157D2B">
          <w:rPr>
            <w:rFonts w:ascii="Aptos" w:eastAsia="Times New Roman" w:hAnsi="Aptos" w:cs="Times New Roman"/>
            <w:i/>
            <w:iCs/>
            <w:color w:val="1155CC"/>
            <w:kern w:val="0"/>
            <w:u w:val="single"/>
            <w:shd w:val="clear" w:color="auto" w:fill="FFFFFF"/>
            <w:lang w:val="en-HR" w:eastAsia="en-GB"/>
            <w14:ligatures w14:val="none"/>
          </w:rPr>
          <w:t>AI Policy Template 2025</w:t>
        </w:r>
        <w:r w:rsidRPr="00157D2B">
          <w:rPr>
            <w:rFonts w:ascii="Aptos" w:eastAsia="Times New Roman" w:hAnsi="Aptos" w:cs="Times New Roman"/>
            <w:color w:val="1155CC"/>
            <w:kern w:val="0"/>
            <w:u w:val="single"/>
            <w:shd w:val="clear" w:color="auto" w:fill="FFFFFF"/>
            <w:lang w:val="en-HR" w:eastAsia="en-GB"/>
            <w14:ligatures w14:val="none"/>
          </w:rPr>
          <w:t xml:space="preserve"> </w:t>
        </w:r>
      </w:hyperlink>
      <w:r w:rsidRPr="00157D2B">
        <w:rPr>
          <w:rFonts w:ascii="Aptos" w:eastAsia="Times New Roman" w:hAnsi="Aptos" w:cs="Times New Roman"/>
          <w:color w:val="000000"/>
          <w:kern w:val="0"/>
          <w:shd w:val="clear" w:color="auto" w:fill="FFFFFF"/>
          <w:lang w:val="en-HR" w:eastAsia="en-GB"/>
          <w14:ligatures w14:val="none"/>
        </w:rPr>
        <w:t>p</w:t>
      </w:r>
      <w:r w:rsidRPr="00157D2B">
        <w:rPr>
          <w:rFonts w:ascii="Aptos" w:eastAsia="Times New Roman" w:hAnsi="Aptos" w:cs="Times New Roman"/>
          <w:color w:val="000000"/>
          <w:kern w:val="0"/>
          <w:lang w:val="en-HR" w:eastAsia="en-GB"/>
          <w14:ligatures w14:val="none"/>
        </w:rPr>
        <w:t>rovides a modular structure: acceptable-use definitions, risk matrices, review cycles, oversight responsibility, escalation channels. It lives alongside policy templates from SWGfL, a charity dedicated to empowering the safe and secure use of technology globally, and sectoral guidance for staff training. These instruments translate principles into clauses that institution leaders can adopt or adapt.</w:t>
      </w:r>
    </w:p>
    <w:p w14:paraId="686051A2" w14:textId="77777777" w:rsidR="00157D2B" w:rsidRPr="00157D2B" w:rsidRDefault="00157D2B" w:rsidP="00157D2B">
      <w:pPr>
        <w:spacing w:before="240" w:after="240"/>
        <w:rPr>
          <w:rFonts w:ascii="Aptos" w:eastAsia="Times New Roman" w:hAnsi="Aptos" w:cs="Times New Roman"/>
          <w:color w:val="000000"/>
          <w:kern w:val="0"/>
          <w:lang w:val="en-HR" w:eastAsia="en-GB"/>
          <w14:ligatures w14:val="none"/>
        </w:rPr>
      </w:pPr>
      <w:r w:rsidRPr="00157D2B">
        <w:rPr>
          <w:rFonts w:ascii="Aptos" w:eastAsia="Times New Roman" w:hAnsi="Aptos" w:cs="Times New Roman"/>
          <w:color w:val="000000"/>
          <w:kern w:val="0"/>
          <w:lang w:val="en-HR" w:eastAsia="en-GB"/>
          <w14:ligatures w14:val="none"/>
        </w:rPr>
        <w:t>But translation often entails compression. What UNESCO may describe as human dignity becomes review cycles and escalation policy; teacher agency becomes a human override clause. The risk is procedural sterility, ie: an institutional shell respecting ethics in name, but blind to lived complexity.</w:t>
      </w:r>
    </w:p>
    <w:p w14:paraId="0067F83A" w14:textId="77777777" w:rsidR="00190D17" w:rsidRDefault="00157D2B" w:rsidP="00190D17">
      <w:pPr>
        <w:spacing w:before="240" w:after="240"/>
        <w:rPr>
          <w:rFonts w:ascii="Aptos" w:eastAsia="Times New Roman" w:hAnsi="Aptos" w:cs="Times New Roman"/>
          <w:color w:val="000000"/>
          <w:kern w:val="0"/>
          <w:lang w:val="en-HR" w:eastAsia="en-GB"/>
          <w14:ligatures w14:val="none"/>
        </w:rPr>
      </w:pPr>
      <w:r w:rsidRPr="00157D2B">
        <w:rPr>
          <w:rFonts w:ascii="Aptos" w:eastAsia="Times New Roman" w:hAnsi="Aptos" w:cs="Times New Roman"/>
          <w:color w:val="000000"/>
          <w:kern w:val="0"/>
          <w:lang w:val="en-HR" w:eastAsia="en-GB"/>
          <w14:ligatures w14:val="none"/>
        </w:rPr>
        <w:t>The value lies in consistency at scale. Thousands of schools need a coherent scaffold; litigation risk demands clarity; regulators demand traceability. The institutional layer is the middle ground where ambition, compliance, and reality must converge. The question is whether it can remain porous to judgment, insight and iteration.</w:t>
      </w:r>
    </w:p>
    <w:p w14:paraId="7ECF8BE9" w14:textId="7646423C" w:rsidR="00157D2B" w:rsidRPr="00157D2B" w:rsidRDefault="00157D2B" w:rsidP="00190D17">
      <w:pPr>
        <w:spacing w:before="240" w:after="240"/>
        <w:rPr>
          <w:rFonts w:ascii="Aptos" w:eastAsia="Times New Roman" w:hAnsi="Aptos" w:cs="Times New Roman"/>
          <w:color w:val="000000"/>
          <w:kern w:val="0"/>
          <w:lang w:val="en-HR" w:eastAsia="en-GB"/>
          <w14:ligatures w14:val="none"/>
        </w:rPr>
      </w:pPr>
      <w:r w:rsidRPr="00157D2B">
        <w:rPr>
          <w:rFonts w:ascii="Aptos" w:eastAsia="Times New Roman" w:hAnsi="Aptos" w:cs="Times New Roman"/>
          <w:color w:val="000000"/>
          <w:kern w:val="0"/>
          <w:lang w:val="en-HR" w:eastAsia="en-GB"/>
          <w14:ligatures w14:val="none"/>
        </w:rPr>
        <w:lastRenderedPageBreak/>
        <w:br/>
      </w:r>
    </w:p>
    <w:p w14:paraId="7B375B75" w14:textId="77777777" w:rsidR="00157D2B" w:rsidRPr="00190D17" w:rsidRDefault="00157D2B" w:rsidP="00190D17">
      <w:pPr>
        <w:pStyle w:val="ListParagraph"/>
        <w:numPr>
          <w:ilvl w:val="0"/>
          <w:numId w:val="6"/>
        </w:numPr>
        <w:spacing w:before="280"/>
        <w:textAlignment w:val="baseline"/>
        <w:rPr>
          <w:rFonts w:ascii="Aptos" w:eastAsia="Times New Roman" w:hAnsi="Aptos" w:cs="Times New Roman"/>
          <w:b/>
          <w:bCs/>
          <w:color w:val="000000"/>
          <w:kern w:val="0"/>
          <w:lang w:val="en-HR" w:eastAsia="en-GB"/>
          <w14:ligatures w14:val="none"/>
        </w:rPr>
      </w:pPr>
      <w:r w:rsidRPr="00190D17">
        <w:rPr>
          <w:rFonts w:ascii="Aptos" w:eastAsia="Times New Roman" w:hAnsi="Aptos" w:cs="Times New Roman"/>
          <w:b/>
          <w:bCs/>
          <w:color w:val="000000"/>
          <w:kern w:val="0"/>
          <w:lang w:val="en-HR" w:eastAsia="en-GB"/>
          <w14:ligatures w14:val="none"/>
        </w:rPr>
        <w:t>Emerging Tensions—The Faultlines of Policy</w:t>
      </w:r>
    </w:p>
    <w:p w14:paraId="15BC946A" w14:textId="77777777" w:rsidR="00157D2B" w:rsidRPr="00157D2B" w:rsidRDefault="00157D2B" w:rsidP="00157D2B">
      <w:pPr>
        <w:spacing w:before="240" w:after="240"/>
        <w:rPr>
          <w:rFonts w:ascii="Aptos" w:eastAsia="Times New Roman" w:hAnsi="Aptos" w:cs="Times New Roman"/>
          <w:color w:val="000000"/>
          <w:kern w:val="0"/>
          <w:lang w:val="en-HR" w:eastAsia="en-GB"/>
          <w14:ligatures w14:val="none"/>
        </w:rPr>
      </w:pPr>
      <w:r w:rsidRPr="00157D2B">
        <w:rPr>
          <w:rFonts w:ascii="Aptos" w:eastAsia="Times New Roman" w:hAnsi="Aptos" w:cs="Times New Roman"/>
          <w:color w:val="000000"/>
          <w:kern w:val="0"/>
          <w:lang w:val="en-HR" w:eastAsia="en-GB"/>
          <w14:ligatures w14:val="none"/>
        </w:rPr>
        <w:t>These tensions are the warp and weft of policy design beyond 2025. These are not bugs to patch, but forces to balance.</w:t>
      </w:r>
    </w:p>
    <w:p w14:paraId="7E965230" w14:textId="77777777" w:rsidR="00157D2B" w:rsidRPr="00157D2B" w:rsidRDefault="00157D2B" w:rsidP="00157D2B">
      <w:pPr>
        <w:spacing w:before="240" w:after="240"/>
        <w:rPr>
          <w:rFonts w:ascii="Aptos" w:eastAsia="Times New Roman" w:hAnsi="Aptos" w:cs="Times New Roman"/>
          <w:color w:val="000000"/>
          <w:kern w:val="0"/>
          <w:lang w:val="en-HR" w:eastAsia="en-GB"/>
          <w14:ligatures w14:val="none"/>
        </w:rPr>
      </w:pPr>
      <w:r w:rsidRPr="00157D2B">
        <w:rPr>
          <w:rFonts w:ascii="Aptos" w:eastAsia="Times New Roman" w:hAnsi="Aptos" w:cs="Times New Roman"/>
          <w:b/>
          <w:bCs/>
          <w:color w:val="000000"/>
          <w:kern w:val="0"/>
          <w:lang w:val="en-HR" w:eastAsia="en-GB"/>
          <w14:ligatures w14:val="none"/>
        </w:rPr>
        <w:t>Academic integrity vs authentic learning.</w:t>
      </w:r>
      <w:r w:rsidRPr="00157D2B">
        <w:rPr>
          <w:rFonts w:ascii="Aptos" w:eastAsia="Times New Roman" w:hAnsi="Aptos" w:cs="Times New Roman"/>
          <w:color w:val="000000"/>
          <w:kern w:val="0"/>
          <w:lang w:val="en-HR" w:eastAsia="en-GB"/>
          <w14:ligatures w14:val="none"/>
        </w:rPr>
        <w:t xml:space="preserve"> According to HEPI/Kortext’s </w:t>
      </w:r>
      <w:hyperlink r:id="rId16" w:history="1">
        <w:r w:rsidRPr="00157D2B">
          <w:rPr>
            <w:rFonts w:ascii="Aptos" w:eastAsia="Times New Roman" w:hAnsi="Aptos" w:cs="Times New Roman"/>
            <w:i/>
            <w:iCs/>
            <w:color w:val="1155CC"/>
            <w:kern w:val="0"/>
            <w:u w:val="single"/>
            <w:lang w:val="en-HR" w:eastAsia="en-GB"/>
            <w14:ligatures w14:val="none"/>
          </w:rPr>
          <w:t>Student Generative AI Survey 2025</w:t>
        </w:r>
      </w:hyperlink>
      <w:r w:rsidRPr="00157D2B">
        <w:rPr>
          <w:rFonts w:ascii="Aptos" w:eastAsia="Times New Roman" w:hAnsi="Aptos" w:cs="Times New Roman"/>
          <w:color w:val="000000"/>
          <w:kern w:val="0"/>
          <w:lang w:val="en-HR" w:eastAsia="en-GB"/>
          <w14:ligatures w14:val="none"/>
        </w:rPr>
        <w:t xml:space="preserve">, 92 percent of undergraduate students now use AI tools (up from 66 percent in 2024), and 88 percent have used generative AI in assessments (up from 53 percent). Universities are being urged to </w:t>
      </w:r>
      <w:hyperlink r:id="rId17" w:history="1">
        <w:r w:rsidRPr="00157D2B">
          <w:rPr>
            <w:rFonts w:ascii="Aptos" w:eastAsia="Times New Roman" w:hAnsi="Aptos" w:cs="Times New Roman"/>
            <w:color w:val="1155CC"/>
            <w:kern w:val="0"/>
            <w:u w:val="single"/>
            <w:lang w:val="en-HR" w:eastAsia="en-GB"/>
            <w14:ligatures w14:val="none"/>
          </w:rPr>
          <w:t>stress-test assessment design</w:t>
        </w:r>
      </w:hyperlink>
      <w:r w:rsidRPr="00157D2B">
        <w:rPr>
          <w:rFonts w:ascii="Aptos" w:eastAsia="Times New Roman" w:hAnsi="Aptos" w:cs="Times New Roman"/>
          <w:color w:val="000000"/>
          <w:kern w:val="0"/>
          <w:lang w:val="en-HR" w:eastAsia="en-GB"/>
          <w14:ligatures w14:val="none"/>
        </w:rPr>
        <w:t>, shifting from detection regimes to tasks that require human judgment and defensible annotation.</w:t>
      </w:r>
    </w:p>
    <w:p w14:paraId="67DBF7AB" w14:textId="77777777" w:rsidR="00157D2B" w:rsidRPr="00157D2B" w:rsidRDefault="00157D2B" w:rsidP="00157D2B">
      <w:pPr>
        <w:spacing w:before="240" w:after="240"/>
        <w:rPr>
          <w:rFonts w:ascii="Aptos" w:eastAsia="Times New Roman" w:hAnsi="Aptos" w:cs="Times New Roman"/>
          <w:color w:val="000000"/>
          <w:kern w:val="0"/>
          <w:lang w:val="en-HR" w:eastAsia="en-GB"/>
          <w14:ligatures w14:val="none"/>
        </w:rPr>
      </w:pPr>
      <w:r w:rsidRPr="00157D2B">
        <w:rPr>
          <w:rFonts w:ascii="Aptos" w:eastAsia="Times New Roman" w:hAnsi="Aptos" w:cs="Times New Roman"/>
          <w:b/>
          <w:bCs/>
          <w:color w:val="000000"/>
          <w:kern w:val="0"/>
          <w:lang w:val="en-HR" w:eastAsia="en-GB"/>
          <w14:ligatures w14:val="none"/>
        </w:rPr>
        <w:t>Equity and access.</w:t>
      </w:r>
      <w:r w:rsidRPr="00157D2B">
        <w:rPr>
          <w:rFonts w:ascii="Aptos" w:eastAsia="Times New Roman" w:hAnsi="Aptos" w:cs="Times New Roman"/>
          <w:color w:val="000000"/>
          <w:kern w:val="0"/>
          <w:lang w:val="en-HR" w:eastAsia="en-GB"/>
          <w14:ligatures w14:val="none"/>
        </w:rPr>
        <w:t xml:space="preserve"> The digital divide appears to be widening. HEPI’s data also shows that wealthier students, STEM students, and male students tend to use AI more confidently; women and less privileged backgrounds express greater concern about cheating and hallucination risk. UNESCO’s institutional survey likewise reveals uneven confidence: though two-thirds of universities have or are developing AI use guidance, only 19 percent report existing formal policies.</w:t>
      </w:r>
    </w:p>
    <w:p w14:paraId="7CB93B1A" w14:textId="77777777" w:rsidR="00157D2B" w:rsidRPr="00157D2B" w:rsidRDefault="00157D2B" w:rsidP="00157D2B">
      <w:pPr>
        <w:spacing w:before="240" w:after="240"/>
        <w:rPr>
          <w:rFonts w:ascii="Aptos" w:eastAsia="Times New Roman" w:hAnsi="Aptos" w:cs="Times New Roman"/>
          <w:color w:val="000000"/>
          <w:kern w:val="0"/>
          <w:lang w:val="en-HR" w:eastAsia="en-GB"/>
          <w14:ligatures w14:val="none"/>
        </w:rPr>
      </w:pPr>
      <w:r w:rsidRPr="00157D2B">
        <w:rPr>
          <w:rFonts w:ascii="Aptos" w:eastAsia="Times New Roman" w:hAnsi="Aptos" w:cs="Times New Roman"/>
          <w:b/>
          <w:bCs/>
          <w:color w:val="000000"/>
          <w:kern w:val="0"/>
          <w:lang w:val="en-HR" w:eastAsia="en-GB"/>
          <w14:ligatures w14:val="none"/>
        </w:rPr>
        <w:t>Transparency and auditability.</w:t>
      </w:r>
      <w:r w:rsidRPr="00157D2B">
        <w:rPr>
          <w:rFonts w:ascii="Aptos" w:eastAsia="Times New Roman" w:hAnsi="Aptos" w:cs="Times New Roman"/>
          <w:color w:val="000000"/>
          <w:kern w:val="0"/>
          <w:lang w:val="en-HR" w:eastAsia="en-GB"/>
          <w14:ligatures w14:val="none"/>
        </w:rPr>
        <w:t xml:space="preserve"> Many AI tools used in education do not publish model cards or data provenance. The UK guidance leans on human oversight and DPIAs, but international regimes will push for stronger obligations for general-purpose AI in the years ahead. The challenge is on local actors being asked to trust what they cannot inspect.</w:t>
      </w:r>
    </w:p>
    <w:p w14:paraId="691D486F" w14:textId="77777777" w:rsidR="00157D2B" w:rsidRPr="00157D2B" w:rsidRDefault="00157D2B" w:rsidP="00157D2B">
      <w:pPr>
        <w:spacing w:before="240" w:after="240"/>
        <w:rPr>
          <w:rFonts w:ascii="Aptos" w:eastAsia="Times New Roman" w:hAnsi="Aptos" w:cs="Times New Roman"/>
          <w:color w:val="000000"/>
          <w:kern w:val="0"/>
          <w:lang w:val="en-HR" w:eastAsia="en-GB"/>
          <w14:ligatures w14:val="none"/>
        </w:rPr>
      </w:pPr>
      <w:r w:rsidRPr="00157D2B">
        <w:rPr>
          <w:rFonts w:ascii="Aptos" w:eastAsia="Times New Roman" w:hAnsi="Aptos" w:cs="Times New Roman"/>
          <w:b/>
          <w:bCs/>
          <w:color w:val="000000"/>
          <w:kern w:val="0"/>
          <w:lang w:val="en-HR" w:eastAsia="en-GB"/>
          <w14:ligatures w14:val="none"/>
        </w:rPr>
        <w:t>Data, privacy and liability.</w:t>
      </w:r>
      <w:r w:rsidRPr="00157D2B">
        <w:rPr>
          <w:rFonts w:ascii="Aptos" w:eastAsia="Times New Roman" w:hAnsi="Aptos" w:cs="Times New Roman"/>
          <w:color w:val="000000"/>
          <w:kern w:val="0"/>
          <w:lang w:val="en-HR" w:eastAsia="en-GB"/>
          <w14:ligatures w14:val="none"/>
        </w:rPr>
        <w:t xml:space="preserve"> Generative systems work via learner data; the boundary between support and surveillance is therefore thin. The DfE explicitly requires compliance with GDPR and safeguarding frameworks; early-adopter institutions are formalising risk escalation pathways and contractual terms with vendors.</w:t>
      </w:r>
    </w:p>
    <w:p w14:paraId="2370AB0F" w14:textId="77777777" w:rsidR="00157D2B" w:rsidRPr="00157D2B" w:rsidRDefault="00157D2B" w:rsidP="00157D2B">
      <w:pPr>
        <w:spacing w:before="240" w:after="240"/>
        <w:rPr>
          <w:rFonts w:ascii="Aptos" w:eastAsia="Times New Roman" w:hAnsi="Aptos" w:cs="Times New Roman"/>
          <w:color w:val="000000"/>
          <w:kern w:val="0"/>
          <w:lang w:val="en-HR" w:eastAsia="en-GB"/>
          <w14:ligatures w14:val="none"/>
        </w:rPr>
      </w:pPr>
      <w:r w:rsidRPr="00157D2B">
        <w:rPr>
          <w:rFonts w:ascii="Aptos" w:eastAsia="Times New Roman" w:hAnsi="Aptos" w:cs="Times New Roman"/>
          <w:b/>
          <w:bCs/>
          <w:color w:val="000000"/>
          <w:kern w:val="0"/>
          <w:lang w:val="en-HR" w:eastAsia="en-GB"/>
          <w14:ligatures w14:val="none"/>
        </w:rPr>
        <w:t>Teacher capacity and identity.</w:t>
      </w:r>
      <w:r w:rsidRPr="00157D2B">
        <w:rPr>
          <w:rFonts w:ascii="Aptos" w:eastAsia="Times New Roman" w:hAnsi="Aptos" w:cs="Times New Roman"/>
          <w:color w:val="000000"/>
          <w:kern w:val="0"/>
          <w:lang w:val="en-HR" w:eastAsia="en-GB"/>
          <w14:ligatures w14:val="none"/>
        </w:rPr>
        <w:t xml:space="preserve"> AI automation of lesson planning, summative feedback or scaffolding runs the risk of eroding professional craftsmanship. UNESCO’s essays warn of de-skilling—</w:t>
      </w:r>
      <w:hyperlink r:id="rId18" w:history="1">
        <w:r w:rsidRPr="00157D2B">
          <w:rPr>
            <w:rFonts w:ascii="Aptos" w:eastAsia="Times New Roman" w:hAnsi="Aptos" w:cs="Times New Roman"/>
            <w:color w:val="1155CC"/>
            <w:kern w:val="0"/>
            <w:u w:val="single"/>
            <w:lang w:val="en-HR" w:eastAsia="en-GB"/>
            <w14:ligatures w14:val="none"/>
          </w:rPr>
          <w:t>already witnessed</w:t>
        </w:r>
      </w:hyperlink>
      <w:r w:rsidRPr="00157D2B">
        <w:rPr>
          <w:rFonts w:ascii="Aptos" w:eastAsia="Times New Roman" w:hAnsi="Aptos" w:cs="Times New Roman"/>
          <w:color w:val="000000"/>
          <w:kern w:val="0"/>
          <w:lang w:val="en-HR" w:eastAsia="en-GB"/>
          <w14:ligatures w14:val="none"/>
        </w:rPr>
        <w:t xml:space="preserve"> in professional services, law, and finance—when pedagogical judgment is ceded. Professional development and reflective design must guard against instrumentality.</w:t>
      </w:r>
    </w:p>
    <w:p w14:paraId="345F2508" w14:textId="77777777" w:rsidR="00157D2B" w:rsidRPr="00157D2B" w:rsidRDefault="00157D2B" w:rsidP="00157D2B">
      <w:pPr>
        <w:spacing w:before="240" w:after="240"/>
        <w:rPr>
          <w:rFonts w:ascii="Aptos" w:eastAsia="Times New Roman" w:hAnsi="Aptos" w:cs="Times New Roman"/>
          <w:color w:val="000000"/>
          <w:kern w:val="0"/>
          <w:lang w:val="en-HR" w:eastAsia="en-GB"/>
          <w14:ligatures w14:val="none"/>
        </w:rPr>
      </w:pPr>
      <w:r w:rsidRPr="00157D2B">
        <w:rPr>
          <w:rFonts w:ascii="Aptos" w:eastAsia="Times New Roman" w:hAnsi="Aptos" w:cs="Times New Roman"/>
          <w:b/>
          <w:bCs/>
          <w:color w:val="000000"/>
          <w:kern w:val="0"/>
          <w:lang w:val="en-HR" w:eastAsia="en-GB"/>
          <w14:ligatures w14:val="none"/>
        </w:rPr>
        <w:t>Governance coherence.</w:t>
      </w:r>
      <w:r w:rsidRPr="00157D2B">
        <w:rPr>
          <w:rFonts w:ascii="Aptos" w:eastAsia="Times New Roman" w:hAnsi="Aptos" w:cs="Times New Roman"/>
          <w:color w:val="000000"/>
          <w:kern w:val="0"/>
          <w:lang w:val="en-HR" w:eastAsia="en-GB"/>
          <w14:ligatures w14:val="none"/>
        </w:rPr>
        <w:t xml:space="preserve"> The ‘edu-triad’ of global ethics, national principle, and local discretion must find equilibrium. The Council of Europe’s binding treaty and EU AI Act provide external constraints; the national and institutional systems must navigate them without stifling innovation.</w:t>
      </w:r>
    </w:p>
    <w:p w14:paraId="411C81CB" w14:textId="77777777" w:rsidR="00157D2B" w:rsidRPr="00157D2B" w:rsidRDefault="00157D2B" w:rsidP="00157D2B">
      <w:pPr>
        <w:spacing w:before="240" w:after="240"/>
        <w:rPr>
          <w:rFonts w:ascii="Aptos" w:eastAsia="Times New Roman" w:hAnsi="Aptos" w:cs="Times New Roman"/>
          <w:color w:val="000000"/>
          <w:kern w:val="0"/>
          <w:lang w:val="en-HR" w:eastAsia="en-GB"/>
          <w14:ligatures w14:val="none"/>
        </w:rPr>
      </w:pPr>
      <w:r w:rsidRPr="00157D2B">
        <w:rPr>
          <w:rFonts w:ascii="Aptos" w:eastAsia="Times New Roman" w:hAnsi="Aptos" w:cs="Times New Roman"/>
          <w:color w:val="000000"/>
          <w:kern w:val="0"/>
          <w:lang w:val="en-HR" w:eastAsia="en-GB"/>
          <w14:ligatures w14:val="none"/>
        </w:rPr>
        <w:t>Important to note: each tension is not a problem to be solved once, but a pressure to be balanced continuously. </w:t>
      </w:r>
    </w:p>
    <w:p w14:paraId="3C61828C" w14:textId="77777777" w:rsidR="00190D17" w:rsidRDefault="00190D17" w:rsidP="00157D2B">
      <w:pPr>
        <w:spacing w:before="240" w:after="240"/>
        <w:rPr>
          <w:rFonts w:ascii="Aptos" w:eastAsia="Times New Roman" w:hAnsi="Aptos" w:cs="Times New Roman"/>
          <w:color w:val="000000"/>
          <w:kern w:val="0"/>
          <w:lang w:val="en-HR" w:eastAsia="en-GB"/>
          <w14:ligatures w14:val="none"/>
        </w:rPr>
      </w:pPr>
    </w:p>
    <w:p w14:paraId="600833F9" w14:textId="77777777" w:rsidR="00190D17" w:rsidRDefault="00190D17" w:rsidP="00157D2B">
      <w:pPr>
        <w:spacing w:before="240" w:after="240"/>
        <w:rPr>
          <w:rFonts w:ascii="Aptos" w:eastAsia="Times New Roman" w:hAnsi="Aptos" w:cs="Times New Roman"/>
          <w:color w:val="000000"/>
          <w:kern w:val="0"/>
          <w:lang w:val="en-HR" w:eastAsia="en-GB"/>
          <w14:ligatures w14:val="none"/>
        </w:rPr>
      </w:pPr>
    </w:p>
    <w:p w14:paraId="71F4A7A3" w14:textId="77777777" w:rsidR="00190D17" w:rsidRDefault="00190D17" w:rsidP="00157D2B">
      <w:pPr>
        <w:spacing w:before="240" w:after="240"/>
        <w:rPr>
          <w:rFonts w:ascii="Aptos" w:eastAsia="Times New Roman" w:hAnsi="Aptos" w:cs="Times New Roman"/>
          <w:color w:val="000000"/>
          <w:kern w:val="0"/>
          <w:lang w:val="en-HR" w:eastAsia="en-GB"/>
          <w14:ligatures w14:val="none"/>
        </w:rPr>
      </w:pPr>
    </w:p>
    <w:p w14:paraId="36769BEE" w14:textId="77777777" w:rsidR="00190D17" w:rsidRDefault="00190D17" w:rsidP="00157D2B">
      <w:pPr>
        <w:spacing w:before="240" w:after="240"/>
        <w:rPr>
          <w:rFonts w:ascii="Aptos" w:eastAsia="Times New Roman" w:hAnsi="Aptos" w:cs="Times New Roman"/>
          <w:color w:val="000000"/>
          <w:kern w:val="0"/>
          <w:lang w:val="en-HR" w:eastAsia="en-GB"/>
          <w14:ligatures w14:val="none"/>
        </w:rPr>
      </w:pPr>
    </w:p>
    <w:p w14:paraId="7DAC1312" w14:textId="51D01306" w:rsidR="00157D2B" w:rsidRPr="00157D2B" w:rsidRDefault="00157D2B" w:rsidP="00157D2B">
      <w:pPr>
        <w:spacing w:before="240" w:after="240"/>
        <w:rPr>
          <w:rFonts w:ascii="Aptos" w:eastAsia="Times New Roman" w:hAnsi="Aptos" w:cs="Times New Roman"/>
          <w:color w:val="000000"/>
          <w:kern w:val="0"/>
          <w:lang w:val="en-HR" w:eastAsia="en-GB"/>
          <w14:ligatures w14:val="none"/>
        </w:rPr>
      </w:pPr>
      <w:r w:rsidRPr="00157D2B">
        <w:rPr>
          <w:rFonts w:ascii="Aptos" w:eastAsia="Times New Roman" w:hAnsi="Aptos" w:cs="Times New Roman"/>
          <w:color w:val="000000"/>
          <w:kern w:val="0"/>
          <w:lang w:val="en-HR" w:eastAsia="en-GB"/>
          <w14:ligatures w14:val="none"/>
        </w:rPr>
        <w:lastRenderedPageBreak/>
        <w:t>What’s more, Saviesa recognises five emerging themes shaping educational AI borne out of these tensions:</w:t>
      </w:r>
    </w:p>
    <w:p w14:paraId="4D64A0EF" w14:textId="77777777" w:rsidR="00157D2B" w:rsidRPr="00157D2B" w:rsidRDefault="00157D2B" w:rsidP="00157D2B">
      <w:pPr>
        <w:spacing w:before="240" w:after="240"/>
        <w:rPr>
          <w:rFonts w:ascii="Aptos" w:eastAsia="Times New Roman" w:hAnsi="Aptos" w:cs="Times New Roman"/>
          <w:color w:val="000000"/>
          <w:kern w:val="0"/>
          <w:lang w:val="en-HR" w:eastAsia="en-GB"/>
          <w14:ligatures w14:val="none"/>
        </w:rPr>
      </w:pPr>
      <w:r w:rsidRPr="00157D2B">
        <w:rPr>
          <w:rFonts w:ascii="Aptos" w:eastAsia="Times New Roman" w:hAnsi="Aptos" w:cs="Times New Roman"/>
          <w:b/>
          <w:bCs/>
          <w:color w:val="000000"/>
          <w:kern w:val="0"/>
          <w:lang w:val="en-HR" w:eastAsia="en-GB"/>
          <w14:ligatures w14:val="none"/>
        </w:rPr>
        <w:t>1. From experimentation to governance</w:t>
      </w:r>
    </w:p>
    <w:p w14:paraId="287ED35B" w14:textId="77777777" w:rsidR="00157D2B" w:rsidRPr="00157D2B" w:rsidRDefault="00157D2B" w:rsidP="00157D2B">
      <w:pPr>
        <w:spacing w:before="240" w:after="240"/>
        <w:rPr>
          <w:rFonts w:ascii="Aptos" w:eastAsia="Times New Roman" w:hAnsi="Aptos" w:cs="Times New Roman"/>
          <w:color w:val="000000"/>
          <w:kern w:val="0"/>
          <w:lang w:val="en-HR" w:eastAsia="en-GB"/>
          <w14:ligatures w14:val="none"/>
        </w:rPr>
      </w:pPr>
      <w:r w:rsidRPr="00157D2B">
        <w:rPr>
          <w:rFonts w:ascii="Aptos" w:eastAsia="Times New Roman" w:hAnsi="Aptos" w:cs="Times New Roman"/>
          <w:color w:val="000000"/>
          <w:kern w:val="0"/>
          <w:lang w:val="en-HR" w:eastAsia="en-GB"/>
          <w14:ligatures w14:val="none"/>
        </w:rPr>
        <w:t xml:space="preserve">What was once pilot becomes policy. The UK’s 2025 approach treats AI not as a novelty but as institutional infrastructure, demanding risk management, oversight and capacity. The transition is risky: too much governance kills innovation; too little invites harm. </w:t>
      </w:r>
      <w:r w:rsidRPr="00157D2B">
        <w:rPr>
          <w:rFonts w:ascii="Aptos" w:eastAsia="Times New Roman" w:hAnsi="Aptos" w:cs="Times New Roman"/>
          <w:i/>
          <w:iCs/>
          <w:color w:val="000000"/>
          <w:kern w:val="0"/>
          <w:lang w:val="en-HR" w:eastAsia="en-GB"/>
          <w14:ligatures w14:val="none"/>
        </w:rPr>
        <w:t>Sector-by-sector review of what does and does not work is highly recommended.</w:t>
      </w:r>
    </w:p>
    <w:p w14:paraId="247F1E6E" w14:textId="77777777" w:rsidR="00157D2B" w:rsidRPr="00157D2B" w:rsidRDefault="00157D2B" w:rsidP="00157D2B">
      <w:pPr>
        <w:spacing w:before="240" w:after="40"/>
        <w:rPr>
          <w:rFonts w:ascii="Aptos" w:eastAsia="Times New Roman" w:hAnsi="Aptos" w:cs="Times New Roman"/>
          <w:color w:val="000000"/>
          <w:kern w:val="0"/>
          <w:lang w:val="en-HR" w:eastAsia="en-GB"/>
          <w14:ligatures w14:val="none"/>
        </w:rPr>
      </w:pPr>
      <w:r w:rsidRPr="00157D2B">
        <w:rPr>
          <w:rFonts w:ascii="Aptos" w:eastAsia="Times New Roman" w:hAnsi="Aptos" w:cs="Times New Roman"/>
          <w:color w:val="000000"/>
          <w:kern w:val="0"/>
          <w:lang w:val="en-HR" w:eastAsia="en-GB"/>
          <w14:ligatures w14:val="none"/>
        </w:rPr>
        <w:t xml:space="preserve">2. </w:t>
      </w:r>
      <w:r w:rsidRPr="00157D2B">
        <w:rPr>
          <w:rFonts w:ascii="Aptos" w:eastAsia="Times New Roman" w:hAnsi="Aptos" w:cs="Times New Roman"/>
          <w:b/>
          <w:bCs/>
          <w:color w:val="000000"/>
          <w:kern w:val="0"/>
          <w:lang w:val="en-HR" w:eastAsia="en-GB"/>
          <w14:ligatures w14:val="none"/>
        </w:rPr>
        <w:t>Human agency and the teacher-in-the-loop</w:t>
      </w:r>
    </w:p>
    <w:p w14:paraId="3BBF29AB" w14:textId="77777777" w:rsidR="00157D2B" w:rsidRPr="00157D2B" w:rsidRDefault="00157D2B" w:rsidP="00157D2B">
      <w:pPr>
        <w:spacing w:before="240" w:after="240"/>
        <w:rPr>
          <w:rFonts w:ascii="Aptos" w:eastAsia="Times New Roman" w:hAnsi="Aptos" w:cs="Times New Roman"/>
          <w:color w:val="000000"/>
          <w:kern w:val="0"/>
          <w:lang w:val="en-HR" w:eastAsia="en-GB"/>
          <w14:ligatures w14:val="none"/>
        </w:rPr>
      </w:pPr>
      <w:r w:rsidRPr="00157D2B">
        <w:rPr>
          <w:rFonts w:ascii="Aptos" w:eastAsia="Times New Roman" w:hAnsi="Aptos" w:cs="Times New Roman"/>
          <w:color w:val="000000"/>
          <w:kern w:val="0"/>
          <w:lang w:val="en-HR" w:eastAsia="en-GB"/>
          <w14:ligatures w14:val="none"/>
        </w:rPr>
        <w:t xml:space="preserve">Every framework we examine demands human oversight. AI suggestions should not replace judgment; teachers must remain moral and pedagogical agents. </w:t>
      </w:r>
      <w:r w:rsidRPr="00157D2B">
        <w:rPr>
          <w:rFonts w:ascii="Aptos" w:eastAsia="Times New Roman" w:hAnsi="Aptos" w:cs="Times New Roman"/>
          <w:i/>
          <w:iCs/>
          <w:color w:val="000000"/>
          <w:kern w:val="0"/>
          <w:lang w:val="en-HR" w:eastAsia="en-GB"/>
          <w14:ligatures w14:val="none"/>
        </w:rPr>
        <w:t>The human-in-loop is not a stopgap, but a structural constraint.</w:t>
      </w:r>
    </w:p>
    <w:p w14:paraId="2FAE5871" w14:textId="77777777" w:rsidR="00157D2B" w:rsidRPr="00157D2B" w:rsidRDefault="00157D2B" w:rsidP="00157D2B">
      <w:pPr>
        <w:spacing w:before="240" w:after="40"/>
        <w:rPr>
          <w:rFonts w:ascii="Aptos" w:eastAsia="Times New Roman" w:hAnsi="Aptos" w:cs="Times New Roman"/>
          <w:color w:val="000000"/>
          <w:kern w:val="0"/>
          <w:lang w:val="en-HR" w:eastAsia="en-GB"/>
          <w14:ligatures w14:val="none"/>
        </w:rPr>
      </w:pPr>
      <w:r w:rsidRPr="00157D2B">
        <w:rPr>
          <w:rFonts w:ascii="Aptos" w:eastAsia="Times New Roman" w:hAnsi="Aptos" w:cs="Times New Roman"/>
          <w:color w:val="000000"/>
          <w:kern w:val="0"/>
          <w:lang w:val="en-HR" w:eastAsia="en-GB"/>
          <w14:ligatures w14:val="none"/>
        </w:rPr>
        <w:t xml:space="preserve">3. </w:t>
      </w:r>
      <w:r w:rsidRPr="00157D2B">
        <w:rPr>
          <w:rFonts w:ascii="Aptos" w:eastAsia="Times New Roman" w:hAnsi="Aptos" w:cs="Times New Roman"/>
          <w:b/>
          <w:bCs/>
          <w:color w:val="000000"/>
          <w:kern w:val="0"/>
          <w:lang w:val="en-HR" w:eastAsia="en-GB"/>
          <w14:ligatures w14:val="none"/>
        </w:rPr>
        <w:t>Equity, inclusion and the digital divide</w:t>
      </w:r>
    </w:p>
    <w:p w14:paraId="4E83C04A" w14:textId="77777777" w:rsidR="00157D2B" w:rsidRPr="00157D2B" w:rsidRDefault="00157D2B" w:rsidP="00157D2B">
      <w:pPr>
        <w:spacing w:before="240" w:after="240"/>
        <w:rPr>
          <w:rFonts w:ascii="Aptos" w:eastAsia="Times New Roman" w:hAnsi="Aptos" w:cs="Times New Roman"/>
          <w:color w:val="000000"/>
          <w:kern w:val="0"/>
          <w:lang w:val="en-HR" w:eastAsia="en-GB"/>
          <w14:ligatures w14:val="none"/>
        </w:rPr>
      </w:pPr>
      <w:r w:rsidRPr="00157D2B">
        <w:rPr>
          <w:rFonts w:ascii="Aptos" w:eastAsia="Times New Roman" w:hAnsi="Aptos" w:cs="Times New Roman"/>
          <w:color w:val="000000"/>
          <w:kern w:val="0"/>
          <w:lang w:val="en-HR" w:eastAsia="en-GB"/>
          <w14:ligatures w14:val="none"/>
        </w:rPr>
        <w:t xml:space="preserve">Ethics in AI means little if it is only available where infrastructure permits it. Bridging the digital divide—devices, connectivity, staff training—is now as essential a policy frontier as algorithmic fairness. </w:t>
      </w:r>
      <w:r w:rsidRPr="00157D2B">
        <w:rPr>
          <w:rFonts w:ascii="Aptos" w:eastAsia="Times New Roman" w:hAnsi="Aptos" w:cs="Times New Roman"/>
          <w:i/>
          <w:iCs/>
          <w:color w:val="000000"/>
          <w:kern w:val="0"/>
          <w:lang w:val="en-HR" w:eastAsia="en-GB"/>
          <w14:ligatures w14:val="none"/>
        </w:rPr>
        <w:t>This requires boldness in the face of cultural headwinds, such as the rollback of DEI programmes that are typically well placed to advise on ethical consumption of new technologies.</w:t>
      </w:r>
    </w:p>
    <w:p w14:paraId="2F74BD89" w14:textId="77777777" w:rsidR="00157D2B" w:rsidRPr="00157D2B" w:rsidRDefault="00157D2B" w:rsidP="00157D2B">
      <w:pPr>
        <w:spacing w:before="240" w:after="40"/>
        <w:rPr>
          <w:rFonts w:ascii="Aptos" w:eastAsia="Times New Roman" w:hAnsi="Aptos" w:cs="Times New Roman"/>
          <w:color w:val="000000"/>
          <w:kern w:val="0"/>
          <w:lang w:val="en-HR" w:eastAsia="en-GB"/>
          <w14:ligatures w14:val="none"/>
        </w:rPr>
      </w:pPr>
      <w:r w:rsidRPr="00157D2B">
        <w:rPr>
          <w:rFonts w:ascii="Aptos" w:eastAsia="Times New Roman" w:hAnsi="Aptos" w:cs="Times New Roman"/>
          <w:color w:val="000000"/>
          <w:kern w:val="0"/>
          <w:lang w:val="en-HR" w:eastAsia="en-GB"/>
          <w14:ligatures w14:val="none"/>
        </w:rPr>
        <w:t xml:space="preserve">4. </w:t>
      </w:r>
      <w:r w:rsidRPr="00157D2B">
        <w:rPr>
          <w:rFonts w:ascii="Aptos" w:eastAsia="Times New Roman" w:hAnsi="Aptos" w:cs="Times New Roman"/>
          <w:b/>
          <w:bCs/>
          <w:color w:val="000000"/>
          <w:kern w:val="0"/>
          <w:lang w:val="en-HR" w:eastAsia="en-GB"/>
          <w14:ligatures w14:val="none"/>
        </w:rPr>
        <w:t>Transparency, data and intellectual property</w:t>
      </w:r>
    </w:p>
    <w:p w14:paraId="2C9804C4" w14:textId="77777777" w:rsidR="00157D2B" w:rsidRPr="00157D2B" w:rsidRDefault="00157D2B" w:rsidP="00157D2B">
      <w:pPr>
        <w:spacing w:before="240" w:after="240"/>
        <w:rPr>
          <w:rFonts w:ascii="Aptos" w:eastAsia="Times New Roman" w:hAnsi="Aptos" w:cs="Times New Roman"/>
          <w:color w:val="000000"/>
          <w:kern w:val="0"/>
          <w:lang w:val="en-HR" w:eastAsia="en-GB"/>
          <w14:ligatures w14:val="none"/>
        </w:rPr>
      </w:pPr>
      <w:r w:rsidRPr="00157D2B">
        <w:rPr>
          <w:rFonts w:ascii="Aptos" w:eastAsia="Times New Roman" w:hAnsi="Aptos" w:cs="Times New Roman"/>
          <w:color w:val="000000"/>
          <w:kern w:val="0"/>
          <w:lang w:val="en-HR" w:eastAsia="en-GB"/>
          <w14:ligatures w14:val="none"/>
        </w:rPr>
        <w:t>Explainability and auditability should become civic expectations. Students and teachers should know what data is used, how, and for whose benefit—and when vendor profit motives intercede—in the same way corporate executives mandate similar expectations as part of the vetting and due diligence process.</w:t>
      </w:r>
    </w:p>
    <w:p w14:paraId="5EFB9E6E" w14:textId="77777777" w:rsidR="00157D2B" w:rsidRPr="00157D2B" w:rsidRDefault="00157D2B" w:rsidP="00157D2B">
      <w:pPr>
        <w:spacing w:before="240" w:after="40"/>
        <w:rPr>
          <w:rFonts w:ascii="Aptos" w:eastAsia="Times New Roman" w:hAnsi="Aptos" w:cs="Times New Roman"/>
          <w:color w:val="000000"/>
          <w:kern w:val="0"/>
          <w:lang w:val="en-HR" w:eastAsia="en-GB"/>
          <w14:ligatures w14:val="none"/>
        </w:rPr>
      </w:pPr>
      <w:r w:rsidRPr="00157D2B">
        <w:rPr>
          <w:rFonts w:ascii="Aptos" w:eastAsia="Times New Roman" w:hAnsi="Aptos" w:cs="Times New Roman"/>
          <w:color w:val="000000"/>
          <w:kern w:val="0"/>
          <w:lang w:val="en-HR" w:eastAsia="en-GB"/>
          <w14:ligatures w14:val="none"/>
        </w:rPr>
        <w:t xml:space="preserve">5. </w:t>
      </w:r>
      <w:r w:rsidRPr="00157D2B">
        <w:rPr>
          <w:rFonts w:ascii="Aptos" w:eastAsia="Times New Roman" w:hAnsi="Aptos" w:cs="Times New Roman"/>
          <w:b/>
          <w:bCs/>
          <w:color w:val="000000"/>
          <w:kern w:val="0"/>
          <w:lang w:val="en-HR" w:eastAsia="en-GB"/>
          <w14:ligatures w14:val="none"/>
        </w:rPr>
        <w:t>Pedagogical redesign and AI literacy</w:t>
      </w:r>
    </w:p>
    <w:p w14:paraId="75F9C9E2" w14:textId="77777777" w:rsidR="00157D2B" w:rsidRPr="00157D2B" w:rsidRDefault="00157D2B" w:rsidP="00157D2B">
      <w:pPr>
        <w:spacing w:before="240" w:after="240"/>
        <w:rPr>
          <w:rFonts w:ascii="Aptos" w:eastAsia="Times New Roman" w:hAnsi="Aptos" w:cs="Times New Roman"/>
          <w:color w:val="000000"/>
          <w:kern w:val="0"/>
          <w:lang w:val="en-HR" w:eastAsia="en-GB"/>
          <w14:ligatures w14:val="none"/>
        </w:rPr>
      </w:pPr>
      <w:r w:rsidRPr="00157D2B">
        <w:rPr>
          <w:rFonts w:ascii="Aptos" w:eastAsia="Times New Roman" w:hAnsi="Aptos" w:cs="Times New Roman"/>
          <w:color w:val="000000"/>
          <w:kern w:val="0"/>
          <w:lang w:val="en-HR" w:eastAsia="en-GB"/>
          <w14:ligatures w14:val="none"/>
        </w:rPr>
        <w:t xml:space="preserve">AI literacy must evolve into </w:t>
      </w:r>
      <w:r w:rsidRPr="00157D2B">
        <w:rPr>
          <w:rFonts w:ascii="Aptos" w:eastAsia="Times New Roman" w:hAnsi="Aptos" w:cs="Times New Roman"/>
          <w:i/>
          <w:iCs/>
          <w:color w:val="000000"/>
          <w:kern w:val="0"/>
          <w:lang w:val="en-HR" w:eastAsia="en-GB"/>
          <w14:ligatures w14:val="none"/>
        </w:rPr>
        <w:t>critical literacy</w:t>
      </w:r>
      <w:r w:rsidRPr="00157D2B">
        <w:rPr>
          <w:rFonts w:ascii="Aptos" w:eastAsia="Times New Roman" w:hAnsi="Aptos" w:cs="Times New Roman"/>
          <w:color w:val="000000"/>
          <w:kern w:val="0"/>
          <w:lang w:val="en-HR" w:eastAsia="en-GB"/>
          <w14:ligatures w14:val="none"/>
        </w:rPr>
        <w:t>. Students should not merely operate models, but understand bias, agency, context, and consequence. Curricula must pivot accordingly.</w:t>
      </w:r>
    </w:p>
    <w:p w14:paraId="0AC2E0D6" w14:textId="77777777" w:rsidR="00157D2B" w:rsidRPr="00157D2B" w:rsidRDefault="00157D2B" w:rsidP="00157D2B">
      <w:pPr>
        <w:spacing w:before="240" w:after="240"/>
        <w:rPr>
          <w:rFonts w:ascii="Aptos" w:eastAsia="Times New Roman" w:hAnsi="Aptos" w:cs="Times New Roman"/>
          <w:color w:val="000000"/>
          <w:kern w:val="0"/>
          <w:lang w:val="en-HR" w:eastAsia="en-GB"/>
          <w14:ligatures w14:val="none"/>
        </w:rPr>
      </w:pPr>
      <w:r w:rsidRPr="00157D2B">
        <w:rPr>
          <w:rFonts w:ascii="Aptos" w:eastAsia="Times New Roman" w:hAnsi="Aptos" w:cs="Times New Roman"/>
          <w:color w:val="000000"/>
          <w:kern w:val="0"/>
          <w:lang w:val="en-HR" w:eastAsia="en-GB"/>
          <w14:ligatures w14:val="none"/>
        </w:rPr>
        <w:t>These five currents are forming a maturing policy delta through which all future educational AI will flow. They are the grammar and structure of future debate.</w:t>
      </w:r>
    </w:p>
    <w:p w14:paraId="71381D46" w14:textId="1F88A56F" w:rsidR="00157D2B" w:rsidRPr="00157D2B" w:rsidRDefault="00157D2B" w:rsidP="00157D2B">
      <w:pPr>
        <w:rPr>
          <w:rFonts w:ascii="Aptos" w:eastAsia="Times New Roman" w:hAnsi="Aptos" w:cs="Times New Roman"/>
          <w:color w:val="000000"/>
          <w:kern w:val="0"/>
          <w:lang w:val="en-HR" w:eastAsia="en-GB"/>
          <w14:ligatures w14:val="none"/>
        </w:rPr>
      </w:pPr>
    </w:p>
    <w:p w14:paraId="10C7F4BA" w14:textId="77777777" w:rsidR="00157D2B" w:rsidRPr="00190D17" w:rsidRDefault="00157D2B" w:rsidP="00190D17">
      <w:pPr>
        <w:pStyle w:val="ListParagraph"/>
        <w:numPr>
          <w:ilvl w:val="0"/>
          <w:numId w:val="6"/>
        </w:numPr>
        <w:spacing w:before="280"/>
        <w:textAlignment w:val="baseline"/>
        <w:rPr>
          <w:rFonts w:ascii="Aptos" w:eastAsia="Times New Roman" w:hAnsi="Aptos" w:cs="Times New Roman"/>
          <w:b/>
          <w:bCs/>
          <w:color w:val="000000"/>
          <w:kern w:val="0"/>
          <w:lang w:val="en-HR" w:eastAsia="en-GB"/>
          <w14:ligatures w14:val="none"/>
        </w:rPr>
      </w:pPr>
      <w:r w:rsidRPr="00190D17">
        <w:rPr>
          <w:rFonts w:ascii="Aptos" w:eastAsia="Times New Roman" w:hAnsi="Aptos" w:cs="Times New Roman"/>
          <w:b/>
          <w:bCs/>
          <w:color w:val="000000"/>
          <w:kern w:val="0"/>
          <w:lang w:val="en-HR" w:eastAsia="en-GB"/>
          <w14:ligatures w14:val="none"/>
        </w:rPr>
        <w:t>Horizon: Policy Futures and Possibilities</w:t>
      </w:r>
    </w:p>
    <w:p w14:paraId="6204456E" w14:textId="77777777" w:rsidR="00157D2B" w:rsidRPr="00157D2B" w:rsidRDefault="00157D2B" w:rsidP="00157D2B">
      <w:pPr>
        <w:spacing w:before="240" w:after="240"/>
        <w:rPr>
          <w:rFonts w:ascii="Aptos" w:eastAsia="Times New Roman" w:hAnsi="Aptos" w:cs="Times New Roman"/>
          <w:color w:val="000000"/>
          <w:kern w:val="0"/>
          <w:lang w:val="en-HR" w:eastAsia="en-GB"/>
          <w14:ligatures w14:val="none"/>
        </w:rPr>
      </w:pPr>
      <w:r w:rsidRPr="00157D2B">
        <w:rPr>
          <w:rFonts w:ascii="Aptos" w:eastAsia="Times New Roman" w:hAnsi="Aptos" w:cs="Times New Roman"/>
          <w:color w:val="000000"/>
          <w:kern w:val="0"/>
          <w:lang w:val="en-HR" w:eastAsia="en-GB"/>
          <w14:ligatures w14:val="none"/>
        </w:rPr>
        <w:t>The proximate future is not dystopia or utopia, but intensification. Expect formal AI literacy frameworks embedded in national curricula, inspired by UNESCO’s ethics and evolving from disparate institutional pilots. Algorithmic accountability audits will become commonplace—internal or external assessments of bias, safety, performance and fairness, analogous to financial or data audits.</w:t>
      </w:r>
    </w:p>
    <w:p w14:paraId="58E88033" w14:textId="77777777" w:rsidR="00157D2B" w:rsidRPr="00157D2B" w:rsidRDefault="00157D2B" w:rsidP="00157D2B">
      <w:pPr>
        <w:spacing w:before="240" w:after="240"/>
        <w:rPr>
          <w:rFonts w:ascii="Aptos" w:eastAsia="Times New Roman" w:hAnsi="Aptos" w:cs="Times New Roman"/>
          <w:color w:val="000000"/>
          <w:kern w:val="0"/>
          <w:lang w:val="en-HR" w:eastAsia="en-GB"/>
          <w14:ligatures w14:val="none"/>
        </w:rPr>
      </w:pPr>
      <w:r w:rsidRPr="00157D2B">
        <w:rPr>
          <w:rFonts w:ascii="Aptos" w:eastAsia="Times New Roman" w:hAnsi="Aptos" w:cs="Times New Roman"/>
          <w:color w:val="000000"/>
          <w:kern w:val="0"/>
          <w:lang w:val="en-HR" w:eastAsia="en-GB"/>
          <w14:ligatures w14:val="none"/>
        </w:rPr>
        <w:t>Public–private partnerships will deepen. States may sponsor “model AI providers” for education, or mandate open models for public use, reducing vendor lock-in. Ownership of student-generated data and derivative AI outputs will become hot legal terrain, especially under future EU and UK regulatory pressures.</w:t>
      </w:r>
    </w:p>
    <w:p w14:paraId="6A8B0C4D" w14:textId="77777777" w:rsidR="00157D2B" w:rsidRPr="00157D2B" w:rsidRDefault="00157D2B" w:rsidP="00157D2B">
      <w:pPr>
        <w:spacing w:before="240" w:after="240"/>
        <w:rPr>
          <w:rFonts w:ascii="Aptos" w:eastAsia="Times New Roman" w:hAnsi="Aptos" w:cs="Times New Roman"/>
          <w:color w:val="000000"/>
          <w:kern w:val="0"/>
          <w:lang w:val="en-HR" w:eastAsia="en-GB"/>
          <w14:ligatures w14:val="none"/>
        </w:rPr>
      </w:pPr>
      <w:r w:rsidRPr="00157D2B">
        <w:rPr>
          <w:rFonts w:ascii="Aptos" w:eastAsia="Times New Roman" w:hAnsi="Aptos" w:cs="Times New Roman"/>
          <w:color w:val="000000"/>
          <w:kern w:val="0"/>
          <w:lang w:val="en-HR" w:eastAsia="en-GB"/>
          <w14:ligatures w14:val="none"/>
        </w:rPr>
        <w:lastRenderedPageBreak/>
        <w:t>In this horizon, AI civics emerges: the capacity of citizens and students not merely to use AI, but to question, contest and influence it. Education’s task, then, is not to domesticate AI but to train wise interlocutors that can support a healthy and augmented system.</w:t>
      </w:r>
    </w:p>
    <w:p w14:paraId="7363D5C3" w14:textId="77777777" w:rsidR="00157D2B" w:rsidRPr="00157D2B" w:rsidRDefault="00157D2B" w:rsidP="00157D2B">
      <w:pPr>
        <w:rPr>
          <w:rFonts w:ascii="Aptos" w:eastAsia="Times New Roman" w:hAnsi="Aptos" w:cs="Times New Roman"/>
          <w:color w:val="000000"/>
          <w:kern w:val="0"/>
          <w:lang w:val="en-HR" w:eastAsia="en-GB"/>
          <w14:ligatures w14:val="none"/>
        </w:rPr>
      </w:pPr>
    </w:p>
    <w:p w14:paraId="580C9A57" w14:textId="77777777" w:rsidR="00157D2B" w:rsidRPr="00157D2B" w:rsidRDefault="00157D2B" w:rsidP="00157D2B">
      <w:pPr>
        <w:spacing w:before="280"/>
        <w:rPr>
          <w:rFonts w:ascii="Aptos" w:eastAsia="Times New Roman" w:hAnsi="Aptos" w:cs="Times New Roman"/>
          <w:b/>
          <w:bCs/>
          <w:color w:val="000000"/>
          <w:kern w:val="0"/>
          <w:lang w:val="en-HR" w:eastAsia="en-GB"/>
          <w14:ligatures w14:val="none"/>
        </w:rPr>
      </w:pPr>
      <w:r w:rsidRPr="00157D2B">
        <w:rPr>
          <w:rFonts w:ascii="Aptos" w:eastAsia="Times New Roman" w:hAnsi="Aptos" w:cs="Times New Roman"/>
          <w:b/>
          <w:bCs/>
          <w:color w:val="000000"/>
          <w:kern w:val="0"/>
          <w:lang w:val="en-HR" w:eastAsia="en-GB"/>
          <w14:ligatures w14:val="none"/>
        </w:rPr>
        <w:t>Closing thoughts</w:t>
      </w:r>
    </w:p>
    <w:p w14:paraId="7689E939" w14:textId="77777777" w:rsidR="00157D2B" w:rsidRPr="00157D2B" w:rsidRDefault="00157D2B" w:rsidP="00157D2B">
      <w:pPr>
        <w:spacing w:before="240" w:after="240"/>
        <w:rPr>
          <w:rFonts w:ascii="Aptos" w:eastAsia="Times New Roman" w:hAnsi="Aptos" w:cs="Times New Roman"/>
          <w:color w:val="000000"/>
          <w:kern w:val="0"/>
          <w:lang w:val="en-HR" w:eastAsia="en-GB"/>
          <w14:ligatures w14:val="none"/>
        </w:rPr>
      </w:pPr>
      <w:r w:rsidRPr="00157D2B">
        <w:rPr>
          <w:rFonts w:ascii="Aptos" w:eastAsia="Times New Roman" w:hAnsi="Aptos" w:cs="Times New Roman"/>
          <w:color w:val="000000"/>
          <w:kern w:val="0"/>
          <w:lang w:val="en-HR" w:eastAsia="en-GB"/>
          <w14:ligatures w14:val="none"/>
        </w:rPr>
        <w:t>As algorithms grow more fluent in the mechanics of teaching, the purpose of education remains refreshingly human: discernment, moral imagination, empathy, and critique. The frameworks, templates, audits and policies described here are vital scaffolds, but scaffolds never substitute for judgment, care or humanity.</w:t>
      </w:r>
    </w:p>
    <w:p w14:paraId="23C525F2" w14:textId="77777777" w:rsidR="00157D2B" w:rsidRPr="00157D2B" w:rsidRDefault="00157D2B" w:rsidP="00157D2B">
      <w:pPr>
        <w:spacing w:before="240" w:after="240"/>
        <w:rPr>
          <w:rFonts w:ascii="Aptos" w:eastAsia="Times New Roman" w:hAnsi="Aptos" w:cs="Times New Roman"/>
          <w:color w:val="000000"/>
          <w:kern w:val="0"/>
          <w:lang w:val="en-HR" w:eastAsia="en-GB"/>
          <w14:ligatures w14:val="none"/>
        </w:rPr>
      </w:pPr>
      <w:r w:rsidRPr="00157D2B">
        <w:rPr>
          <w:rFonts w:ascii="Aptos" w:eastAsia="Times New Roman" w:hAnsi="Aptos" w:cs="Times New Roman"/>
          <w:b/>
          <w:bCs/>
          <w:color w:val="000000"/>
          <w:kern w:val="0"/>
          <w:lang w:val="en-HR" w:eastAsia="en-GB"/>
          <w14:ligatures w14:val="none"/>
        </w:rPr>
        <w:t>If policy civilises AI</w:t>
      </w:r>
      <w:r w:rsidRPr="00157D2B">
        <w:rPr>
          <w:rFonts w:ascii="Aptos" w:eastAsia="Times New Roman" w:hAnsi="Aptos" w:cs="Times New Roman"/>
          <w:color w:val="000000"/>
          <w:kern w:val="0"/>
          <w:lang w:val="en-HR" w:eastAsia="en-GB"/>
          <w14:ligatures w14:val="none"/>
        </w:rPr>
        <w:t xml:space="preserve"> </w:t>
      </w:r>
      <w:r w:rsidRPr="00157D2B">
        <w:rPr>
          <w:rFonts w:ascii="Aptos" w:eastAsia="Times New Roman" w:hAnsi="Aptos" w:cs="Times New Roman"/>
          <w:b/>
          <w:bCs/>
          <w:color w:val="000000"/>
          <w:kern w:val="0"/>
          <w:lang w:val="en-HR" w:eastAsia="en-GB"/>
          <w14:ligatures w14:val="none"/>
        </w:rPr>
        <w:t>pedagogy must humanise it</w:t>
      </w:r>
      <w:r w:rsidRPr="00157D2B">
        <w:rPr>
          <w:rFonts w:ascii="Aptos" w:eastAsia="Times New Roman" w:hAnsi="Aptos" w:cs="Times New Roman"/>
          <w:color w:val="000000"/>
          <w:kern w:val="0"/>
          <w:lang w:val="en-HR" w:eastAsia="en-GB"/>
          <w14:ligatures w14:val="none"/>
        </w:rPr>
        <w:t>. </w:t>
      </w:r>
    </w:p>
    <w:p w14:paraId="5D4D8084" w14:textId="77777777" w:rsidR="00157D2B" w:rsidRPr="00157D2B" w:rsidRDefault="00157D2B" w:rsidP="00157D2B">
      <w:pPr>
        <w:spacing w:before="240" w:after="240"/>
        <w:rPr>
          <w:rFonts w:ascii="Aptos" w:eastAsia="Times New Roman" w:hAnsi="Aptos" w:cs="Times New Roman"/>
          <w:color w:val="000000"/>
          <w:kern w:val="0"/>
          <w:lang w:val="en-HR" w:eastAsia="en-GB"/>
          <w14:ligatures w14:val="none"/>
        </w:rPr>
      </w:pPr>
      <w:r w:rsidRPr="00157D2B">
        <w:rPr>
          <w:rFonts w:ascii="Aptos" w:eastAsia="Times New Roman" w:hAnsi="Aptos" w:cs="Times New Roman"/>
          <w:color w:val="000000"/>
          <w:kern w:val="0"/>
          <w:lang w:val="en-HR" w:eastAsia="en-GB"/>
          <w14:ligatures w14:val="none"/>
        </w:rPr>
        <w:t>The UK’s 2025 turn, UNESCO’s ethics, Europe’s treaty architecture, and the very real and now pervasive student use of AI collectively define the centre of gravity for this domain. The challenge is to hold that centre—to resist reductive efficiency—and to deepen transparency, inclusion, agency.</w:t>
      </w:r>
    </w:p>
    <w:p w14:paraId="01482C5C" w14:textId="77777777" w:rsidR="00157D2B" w:rsidRPr="00157D2B" w:rsidRDefault="00157D2B" w:rsidP="00157D2B">
      <w:pPr>
        <w:spacing w:before="240" w:after="240"/>
        <w:rPr>
          <w:rFonts w:ascii="Aptos" w:eastAsia="Times New Roman" w:hAnsi="Aptos" w:cs="Times New Roman"/>
          <w:color w:val="000000"/>
          <w:kern w:val="0"/>
          <w:lang w:val="en-HR" w:eastAsia="en-GB"/>
          <w14:ligatures w14:val="none"/>
        </w:rPr>
      </w:pPr>
      <w:r w:rsidRPr="00157D2B">
        <w:rPr>
          <w:rFonts w:ascii="Aptos" w:eastAsia="Times New Roman" w:hAnsi="Aptos" w:cs="Times New Roman"/>
          <w:color w:val="000000"/>
          <w:kern w:val="0"/>
          <w:lang w:val="en-HR" w:eastAsia="en-GB"/>
          <w14:ligatures w14:val="none"/>
        </w:rPr>
        <w:t>In 2025, the industry must remember that as algorithms teach us to predict, education must maintain its ability to teach us to choose.</w:t>
      </w:r>
    </w:p>
    <w:p w14:paraId="416CC083" w14:textId="026A4F86" w:rsidR="00190D17" w:rsidRDefault="00190D17" w:rsidP="00157D2B">
      <w:pPr>
        <w:spacing w:before="240" w:after="240"/>
        <w:rPr>
          <w:rFonts w:ascii="Aptos" w:eastAsia="Times New Roman" w:hAnsi="Aptos" w:cs="Times New Roman"/>
          <w:color w:val="000000"/>
          <w:kern w:val="0"/>
          <w:lang w:val="en-HR" w:eastAsia="en-GB"/>
          <w14:ligatures w14:val="none"/>
        </w:rPr>
      </w:pPr>
    </w:p>
    <w:p w14:paraId="097D26DF" w14:textId="04758A8B" w:rsidR="00190D17" w:rsidRPr="00190D17" w:rsidRDefault="00190D17" w:rsidP="00157D2B">
      <w:pPr>
        <w:spacing w:before="240" w:after="240"/>
        <w:rPr>
          <w:rFonts w:ascii="Aptos" w:eastAsia="Times New Roman" w:hAnsi="Aptos" w:cs="Times New Roman"/>
          <w:b/>
          <w:bCs/>
          <w:color w:val="000000"/>
          <w:kern w:val="0"/>
          <w:lang w:val="en-HR" w:eastAsia="en-GB"/>
          <w14:ligatures w14:val="none"/>
        </w:rPr>
      </w:pPr>
      <w:r w:rsidRPr="00190D17">
        <w:rPr>
          <w:rFonts w:ascii="Aptos" w:eastAsia="Times New Roman" w:hAnsi="Aptos" w:cs="Times New Roman"/>
          <w:b/>
          <w:bCs/>
          <w:color w:val="000000"/>
          <w:kern w:val="0"/>
          <w:lang w:val="en-HR" w:eastAsia="en-GB"/>
          <w14:ligatures w14:val="none"/>
        </w:rPr>
        <w:t>October 2025</w:t>
      </w:r>
    </w:p>
    <w:p w14:paraId="1E1E22DD" w14:textId="77777777" w:rsidR="00190D17" w:rsidRPr="00190D17" w:rsidRDefault="00190D17" w:rsidP="00190D17">
      <w:pPr>
        <w:rPr>
          <w:rFonts w:ascii="Aptos" w:eastAsia="Times New Roman" w:hAnsi="Aptos" w:cs="Times New Roman"/>
          <w:b/>
          <w:bCs/>
          <w:color w:val="000000"/>
          <w:kern w:val="0"/>
          <w:lang w:val="en-HR" w:eastAsia="en-GB"/>
          <w14:ligatures w14:val="none"/>
        </w:rPr>
      </w:pPr>
      <w:r w:rsidRPr="00190D17">
        <w:rPr>
          <w:rFonts w:ascii="Aptos" w:eastAsia="Times New Roman" w:hAnsi="Aptos" w:cs="Times New Roman"/>
          <w:b/>
          <w:bCs/>
          <w:color w:val="000000"/>
          <w:kern w:val="0"/>
          <w:lang w:val="en-HR" w:eastAsia="en-GB"/>
          <w14:ligatures w14:val="none"/>
        </w:rPr>
        <w:t>Peter Stojanovic</w:t>
      </w:r>
    </w:p>
    <w:p w14:paraId="1E18F6CF" w14:textId="4AE7631E" w:rsidR="00190D17" w:rsidRPr="00190D17" w:rsidRDefault="00190D17" w:rsidP="00190D17">
      <w:pPr>
        <w:rPr>
          <w:rFonts w:ascii="Aptos" w:eastAsia="Times New Roman" w:hAnsi="Aptos" w:cs="Times New Roman"/>
          <w:b/>
          <w:bCs/>
          <w:kern w:val="0"/>
          <w:lang w:val="en-HR" w:eastAsia="en-GB"/>
          <w14:ligatures w14:val="none"/>
        </w:rPr>
      </w:pPr>
      <w:r w:rsidRPr="00190D17">
        <w:rPr>
          <w:rFonts w:ascii="Aptos" w:eastAsia="Times New Roman" w:hAnsi="Aptos" w:cs="Times New Roman"/>
          <w:b/>
          <w:bCs/>
          <w:color w:val="000000"/>
          <w:kern w:val="0"/>
          <w:lang w:val="en-HR" w:eastAsia="en-GB"/>
          <w14:ligatures w14:val="none"/>
        </w:rPr>
        <w:t xml:space="preserve">Saviesa </w:t>
      </w:r>
      <w:r w:rsidRPr="00190D17">
        <w:rPr>
          <w:rFonts w:ascii="Aptos" w:eastAsia="Times New Roman" w:hAnsi="Aptos" w:cs="Times New Roman"/>
          <w:b/>
          <w:bCs/>
          <w:color w:val="000000"/>
          <w:kern w:val="0"/>
          <w:lang w:val="en-HR" w:eastAsia="en-GB"/>
          <w14:ligatures w14:val="none"/>
        </w:rPr>
        <w:t>AI policy advisor, and Editor at the C-suite publication HotTopics.</w:t>
      </w:r>
    </w:p>
    <w:p w14:paraId="2884878A" w14:textId="3EC136D2" w:rsidR="00190D17" w:rsidRDefault="00190D17" w:rsidP="00157D2B">
      <w:pPr>
        <w:spacing w:before="240" w:after="240"/>
        <w:rPr>
          <w:rFonts w:ascii="Aptos" w:eastAsia="Times New Roman" w:hAnsi="Aptos" w:cs="Times New Roman"/>
          <w:color w:val="000000"/>
          <w:kern w:val="0"/>
          <w:lang w:val="en-HR" w:eastAsia="en-GB"/>
          <w14:ligatures w14:val="none"/>
        </w:rPr>
      </w:pPr>
    </w:p>
    <w:p w14:paraId="32BE8092" w14:textId="77777777" w:rsidR="00190D17" w:rsidRDefault="00190D17" w:rsidP="00157D2B">
      <w:pPr>
        <w:spacing w:before="240" w:after="240"/>
        <w:rPr>
          <w:rFonts w:ascii="Aptos" w:eastAsia="Times New Roman" w:hAnsi="Aptos" w:cs="Times New Roman"/>
          <w:color w:val="000000"/>
          <w:kern w:val="0"/>
          <w:lang w:val="en-HR" w:eastAsia="en-GB"/>
          <w14:ligatures w14:val="none"/>
        </w:rPr>
      </w:pPr>
    </w:p>
    <w:p w14:paraId="02A746D9" w14:textId="57EA6F23" w:rsidR="00157D2B" w:rsidRPr="00157D2B" w:rsidRDefault="00157D2B" w:rsidP="00157D2B">
      <w:pPr>
        <w:spacing w:before="240" w:after="240"/>
        <w:rPr>
          <w:rFonts w:ascii="Aptos" w:eastAsia="Times New Roman" w:hAnsi="Aptos" w:cs="Times New Roman"/>
          <w:color w:val="000000"/>
          <w:kern w:val="0"/>
          <w:lang w:val="en-HR" w:eastAsia="en-GB"/>
          <w14:ligatures w14:val="none"/>
        </w:rPr>
      </w:pPr>
      <w:r w:rsidRPr="00157D2B">
        <w:rPr>
          <w:rFonts w:ascii="Aptos" w:eastAsia="Times New Roman" w:hAnsi="Aptos" w:cs="Times New Roman"/>
          <w:color w:val="000000"/>
          <w:kern w:val="0"/>
          <w:lang w:val="en-HR" w:eastAsia="en-GB"/>
          <w14:ligatures w14:val="none"/>
        </w:rPr>
        <w:t xml:space="preserve">Read more from Saviesa: </w:t>
      </w:r>
      <w:hyperlink r:id="rId19" w:history="1">
        <w:r w:rsidR="00190D17" w:rsidRPr="009435B0">
          <w:rPr>
            <w:rStyle w:val="Hyperlink"/>
            <w:rFonts w:ascii="Aptos" w:eastAsia="Times New Roman" w:hAnsi="Aptos" w:cs="Times New Roman"/>
            <w:kern w:val="0"/>
            <w:lang w:val="en-HR" w:eastAsia="en-GB"/>
            <w14:ligatures w14:val="none"/>
          </w:rPr>
          <w:t>https://saviesa.io/resources-and-white-papers/</w:t>
        </w:r>
      </w:hyperlink>
      <w:r w:rsidR="00190D17">
        <w:rPr>
          <w:rFonts w:ascii="Aptos" w:eastAsia="Times New Roman" w:hAnsi="Aptos" w:cs="Times New Roman"/>
          <w:color w:val="000000"/>
          <w:kern w:val="0"/>
          <w:lang w:val="en-HR" w:eastAsia="en-GB"/>
          <w14:ligatures w14:val="none"/>
        </w:rPr>
        <w:t xml:space="preserve"> </w:t>
      </w:r>
    </w:p>
    <w:p w14:paraId="6655B49E" w14:textId="77777777" w:rsidR="00157D2B" w:rsidRPr="00157D2B" w:rsidRDefault="00157D2B" w:rsidP="00157D2B">
      <w:pPr>
        <w:spacing w:after="240"/>
        <w:rPr>
          <w:rFonts w:ascii="Aptos" w:eastAsia="Times New Roman" w:hAnsi="Aptos" w:cs="Times New Roman"/>
          <w:kern w:val="0"/>
          <w:lang w:val="en-HR" w:eastAsia="en-GB"/>
          <w14:ligatures w14:val="none"/>
        </w:rPr>
      </w:pPr>
    </w:p>
    <w:p w14:paraId="00FEFDAD" w14:textId="77777777" w:rsidR="00157D2B" w:rsidRPr="00157D2B" w:rsidRDefault="00157D2B" w:rsidP="00157D2B">
      <w:pPr>
        <w:rPr>
          <w:rFonts w:ascii="Aptos" w:eastAsia="Times New Roman" w:hAnsi="Aptos" w:cs="Times New Roman"/>
          <w:kern w:val="0"/>
          <w:lang w:val="en-HR" w:eastAsia="en-GB"/>
          <w14:ligatures w14:val="none"/>
        </w:rPr>
      </w:pPr>
    </w:p>
    <w:p w14:paraId="6478EE56" w14:textId="77777777" w:rsidR="008E5BFC" w:rsidRPr="00190D17" w:rsidRDefault="008E5BFC">
      <w:pPr>
        <w:rPr>
          <w:rFonts w:ascii="Aptos" w:hAnsi="Aptos"/>
        </w:rPr>
      </w:pPr>
    </w:p>
    <w:sectPr w:rsidR="008E5BFC" w:rsidRPr="00190D17" w:rsidSect="00190D17">
      <w:footerReference w:type="even" r:id="rId20"/>
      <w:footerReference w:type="default" r:id="rId21"/>
      <w:pgSz w:w="12240" w:h="15840"/>
      <w:pgMar w:top="720" w:right="720" w:bottom="720" w:left="72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C32E15" w14:textId="77777777" w:rsidR="003F0BB5" w:rsidRDefault="003F0BB5" w:rsidP="00190D17">
      <w:r>
        <w:separator/>
      </w:r>
    </w:p>
  </w:endnote>
  <w:endnote w:type="continuationSeparator" w:id="0">
    <w:p w14:paraId="3819F5F4" w14:textId="77777777" w:rsidR="003F0BB5" w:rsidRDefault="003F0BB5" w:rsidP="00190D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428933007"/>
      <w:docPartObj>
        <w:docPartGallery w:val="Page Numbers (Bottom of Page)"/>
        <w:docPartUnique/>
      </w:docPartObj>
    </w:sdtPr>
    <w:sdtContent>
      <w:p w14:paraId="07BDAB9C" w14:textId="025B89F7" w:rsidR="00190D17" w:rsidRDefault="00190D17" w:rsidP="009435B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19164E11" w14:textId="77777777" w:rsidR="00190D17" w:rsidRDefault="00190D17" w:rsidP="00190D1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056051042"/>
      <w:docPartObj>
        <w:docPartGallery w:val="Page Numbers (Bottom of Page)"/>
        <w:docPartUnique/>
      </w:docPartObj>
    </w:sdtPr>
    <w:sdtContent>
      <w:p w14:paraId="29C402D2" w14:textId="350190D5" w:rsidR="00190D17" w:rsidRDefault="00190D17" w:rsidP="009435B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CE35F19" w14:textId="77777777" w:rsidR="00190D17" w:rsidRDefault="00190D17" w:rsidP="00190D17">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49AE68" w14:textId="77777777" w:rsidR="003F0BB5" w:rsidRDefault="003F0BB5" w:rsidP="00190D17">
      <w:r>
        <w:separator/>
      </w:r>
    </w:p>
  </w:footnote>
  <w:footnote w:type="continuationSeparator" w:id="0">
    <w:p w14:paraId="492B9778" w14:textId="77777777" w:rsidR="003F0BB5" w:rsidRDefault="003F0BB5" w:rsidP="00190D1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B773A"/>
    <w:multiLevelType w:val="multilevel"/>
    <w:tmpl w:val="8D6CF47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68C4639"/>
    <w:multiLevelType w:val="multilevel"/>
    <w:tmpl w:val="6AE8C98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263035D"/>
    <w:multiLevelType w:val="hybridMultilevel"/>
    <w:tmpl w:val="CEF2A51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496020C3"/>
    <w:multiLevelType w:val="multilevel"/>
    <w:tmpl w:val="408EE14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50AE7C3F"/>
    <w:multiLevelType w:val="multilevel"/>
    <w:tmpl w:val="C43486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768F28DB"/>
    <w:multiLevelType w:val="multilevel"/>
    <w:tmpl w:val="3AA67CD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856894738">
    <w:abstractNumId w:val="4"/>
  </w:num>
  <w:num w:numId="2" w16cid:durableId="1900358787">
    <w:abstractNumId w:val="3"/>
    <w:lvlOverride w:ilvl="0">
      <w:lvl w:ilvl="0">
        <w:numFmt w:val="decimal"/>
        <w:lvlText w:val="%1."/>
        <w:lvlJc w:val="left"/>
      </w:lvl>
    </w:lvlOverride>
  </w:num>
  <w:num w:numId="3" w16cid:durableId="1871842308">
    <w:abstractNumId w:val="5"/>
    <w:lvlOverride w:ilvl="0">
      <w:lvl w:ilvl="0">
        <w:numFmt w:val="decimal"/>
        <w:lvlText w:val="%1."/>
        <w:lvlJc w:val="left"/>
      </w:lvl>
    </w:lvlOverride>
  </w:num>
  <w:num w:numId="4" w16cid:durableId="1201240590">
    <w:abstractNumId w:val="1"/>
    <w:lvlOverride w:ilvl="0">
      <w:lvl w:ilvl="0">
        <w:numFmt w:val="decimal"/>
        <w:lvlText w:val="%1."/>
        <w:lvlJc w:val="left"/>
      </w:lvl>
    </w:lvlOverride>
  </w:num>
  <w:num w:numId="5" w16cid:durableId="649140890">
    <w:abstractNumId w:val="0"/>
    <w:lvlOverride w:ilvl="0">
      <w:lvl w:ilvl="0">
        <w:numFmt w:val="decimal"/>
        <w:lvlText w:val="%1."/>
        <w:lvlJc w:val="left"/>
      </w:lvl>
    </w:lvlOverride>
  </w:num>
  <w:num w:numId="6" w16cid:durableId="90846022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7D2B"/>
    <w:rsid w:val="000D12C9"/>
    <w:rsid w:val="00157D2B"/>
    <w:rsid w:val="00190D17"/>
    <w:rsid w:val="001D7EFA"/>
    <w:rsid w:val="003F0BB5"/>
    <w:rsid w:val="008E5BFC"/>
    <w:rsid w:val="00AF4A66"/>
  </w:rsids>
  <m:mathPr>
    <m:mathFont m:val="Cambria Math"/>
    <m:brkBin m:val="before"/>
    <m:brkBinSub m:val="--"/>
    <m:smallFrac m:val="0"/>
    <m:dispDef/>
    <m:lMargin m:val="0"/>
    <m:rMargin m:val="0"/>
    <m:defJc m:val="centerGroup"/>
    <m:wrapIndent m:val="1440"/>
    <m:intLim m:val="subSup"/>
    <m:naryLim m:val="undOvr"/>
  </m:mathPr>
  <w:themeFontLang w:val="en-HR"/>
  <w:clrSchemeMapping w:bg1="light1" w:t1="dark1" w:bg2="light2" w:t2="dark2" w:accent1="accent1" w:accent2="accent2" w:accent3="accent3" w:accent4="accent4" w:accent5="accent5" w:accent6="accent6" w:hyperlink="hyperlink" w:followedHyperlink="followedHyperlink"/>
  <w:decimalSymbol w:val=","/>
  <w:listSeparator w:val=","/>
  <w14:docId w14:val="24C50044"/>
  <w15:chartTrackingRefBased/>
  <w15:docId w15:val="{55E72A4F-F6BA-0C44-B739-F77696CB15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HR"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paragraph" w:styleId="Heading1">
    <w:name w:val="heading 1"/>
    <w:basedOn w:val="Normal"/>
    <w:next w:val="Normal"/>
    <w:link w:val="Heading1Char"/>
    <w:uiPriority w:val="9"/>
    <w:qFormat/>
    <w:rsid w:val="00157D2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57D2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57D2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57D2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57D2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57D2B"/>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57D2B"/>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57D2B"/>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57D2B"/>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57D2B"/>
    <w:rPr>
      <w:rFonts w:asciiTheme="majorHAnsi" w:eastAsiaTheme="majorEastAsia" w:hAnsiTheme="majorHAnsi" w:cstheme="majorBidi"/>
      <w:color w:val="0F4761" w:themeColor="accent1" w:themeShade="BF"/>
      <w:sz w:val="40"/>
      <w:szCs w:val="40"/>
      <w:lang w:val="en-GB"/>
    </w:rPr>
  </w:style>
  <w:style w:type="character" w:customStyle="1" w:styleId="Heading2Char">
    <w:name w:val="Heading 2 Char"/>
    <w:basedOn w:val="DefaultParagraphFont"/>
    <w:link w:val="Heading2"/>
    <w:uiPriority w:val="9"/>
    <w:semiHidden/>
    <w:rsid w:val="00157D2B"/>
    <w:rPr>
      <w:rFonts w:asciiTheme="majorHAnsi" w:eastAsiaTheme="majorEastAsia" w:hAnsiTheme="majorHAnsi" w:cstheme="majorBidi"/>
      <w:color w:val="0F4761" w:themeColor="accent1" w:themeShade="BF"/>
      <w:sz w:val="32"/>
      <w:szCs w:val="32"/>
      <w:lang w:val="en-GB"/>
    </w:rPr>
  </w:style>
  <w:style w:type="character" w:customStyle="1" w:styleId="Heading3Char">
    <w:name w:val="Heading 3 Char"/>
    <w:basedOn w:val="DefaultParagraphFont"/>
    <w:link w:val="Heading3"/>
    <w:uiPriority w:val="9"/>
    <w:semiHidden/>
    <w:rsid w:val="00157D2B"/>
    <w:rPr>
      <w:rFonts w:eastAsiaTheme="majorEastAsia" w:cstheme="majorBidi"/>
      <w:color w:val="0F4761" w:themeColor="accent1" w:themeShade="BF"/>
      <w:sz w:val="28"/>
      <w:szCs w:val="28"/>
      <w:lang w:val="en-GB"/>
    </w:rPr>
  </w:style>
  <w:style w:type="character" w:customStyle="1" w:styleId="Heading4Char">
    <w:name w:val="Heading 4 Char"/>
    <w:basedOn w:val="DefaultParagraphFont"/>
    <w:link w:val="Heading4"/>
    <w:uiPriority w:val="9"/>
    <w:semiHidden/>
    <w:rsid w:val="00157D2B"/>
    <w:rPr>
      <w:rFonts w:eastAsiaTheme="majorEastAsia" w:cstheme="majorBidi"/>
      <w:i/>
      <w:iCs/>
      <w:color w:val="0F4761" w:themeColor="accent1" w:themeShade="BF"/>
      <w:lang w:val="en-GB"/>
    </w:rPr>
  </w:style>
  <w:style w:type="character" w:customStyle="1" w:styleId="Heading5Char">
    <w:name w:val="Heading 5 Char"/>
    <w:basedOn w:val="DefaultParagraphFont"/>
    <w:link w:val="Heading5"/>
    <w:uiPriority w:val="9"/>
    <w:semiHidden/>
    <w:rsid w:val="00157D2B"/>
    <w:rPr>
      <w:rFonts w:eastAsiaTheme="majorEastAsia" w:cstheme="majorBidi"/>
      <w:color w:val="0F4761" w:themeColor="accent1" w:themeShade="BF"/>
      <w:lang w:val="en-GB"/>
    </w:rPr>
  </w:style>
  <w:style w:type="character" w:customStyle="1" w:styleId="Heading6Char">
    <w:name w:val="Heading 6 Char"/>
    <w:basedOn w:val="DefaultParagraphFont"/>
    <w:link w:val="Heading6"/>
    <w:uiPriority w:val="9"/>
    <w:semiHidden/>
    <w:rsid w:val="00157D2B"/>
    <w:rPr>
      <w:rFonts w:eastAsiaTheme="majorEastAsia" w:cstheme="majorBidi"/>
      <w:i/>
      <w:iCs/>
      <w:color w:val="595959" w:themeColor="text1" w:themeTint="A6"/>
      <w:lang w:val="en-GB"/>
    </w:rPr>
  </w:style>
  <w:style w:type="character" w:customStyle="1" w:styleId="Heading7Char">
    <w:name w:val="Heading 7 Char"/>
    <w:basedOn w:val="DefaultParagraphFont"/>
    <w:link w:val="Heading7"/>
    <w:uiPriority w:val="9"/>
    <w:semiHidden/>
    <w:rsid w:val="00157D2B"/>
    <w:rPr>
      <w:rFonts w:eastAsiaTheme="majorEastAsia" w:cstheme="majorBidi"/>
      <w:color w:val="595959" w:themeColor="text1" w:themeTint="A6"/>
      <w:lang w:val="en-GB"/>
    </w:rPr>
  </w:style>
  <w:style w:type="character" w:customStyle="1" w:styleId="Heading8Char">
    <w:name w:val="Heading 8 Char"/>
    <w:basedOn w:val="DefaultParagraphFont"/>
    <w:link w:val="Heading8"/>
    <w:uiPriority w:val="9"/>
    <w:semiHidden/>
    <w:rsid w:val="00157D2B"/>
    <w:rPr>
      <w:rFonts w:eastAsiaTheme="majorEastAsia" w:cstheme="majorBidi"/>
      <w:i/>
      <w:iCs/>
      <w:color w:val="272727" w:themeColor="text1" w:themeTint="D8"/>
      <w:lang w:val="en-GB"/>
    </w:rPr>
  </w:style>
  <w:style w:type="character" w:customStyle="1" w:styleId="Heading9Char">
    <w:name w:val="Heading 9 Char"/>
    <w:basedOn w:val="DefaultParagraphFont"/>
    <w:link w:val="Heading9"/>
    <w:uiPriority w:val="9"/>
    <w:semiHidden/>
    <w:rsid w:val="00157D2B"/>
    <w:rPr>
      <w:rFonts w:eastAsiaTheme="majorEastAsia" w:cstheme="majorBidi"/>
      <w:color w:val="272727" w:themeColor="text1" w:themeTint="D8"/>
      <w:lang w:val="en-GB"/>
    </w:rPr>
  </w:style>
  <w:style w:type="paragraph" w:styleId="Title">
    <w:name w:val="Title"/>
    <w:basedOn w:val="Normal"/>
    <w:next w:val="Normal"/>
    <w:link w:val="TitleChar"/>
    <w:uiPriority w:val="10"/>
    <w:qFormat/>
    <w:rsid w:val="00157D2B"/>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57D2B"/>
    <w:rPr>
      <w:rFonts w:asciiTheme="majorHAnsi" w:eastAsiaTheme="majorEastAsia" w:hAnsiTheme="majorHAnsi" w:cstheme="majorBidi"/>
      <w:spacing w:val="-10"/>
      <w:kern w:val="28"/>
      <w:sz w:val="56"/>
      <w:szCs w:val="56"/>
      <w:lang w:val="en-GB"/>
    </w:rPr>
  </w:style>
  <w:style w:type="paragraph" w:styleId="Subtitle">
    <w:name w:val="Subtitle"/>
    <w:basedOn w:val="Normal"/>
    <w:next w:val="Normal"/>
    <w:link w:val="SubtitleChar"/>
    <w:uiPriority w:val="11"/>
    <w:qFormat/>
    <w:rsid w:val="00157D2B"/>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57D2B"/>
    <w:rPr>
      <w:rFonts w:eastAsiaTheme="majorEastAsia" w:cstheme="majorBidi"/>
      <w:color w:val="595959" w:themeColor="text1" w:themeTint="A6"/>
      <w:spacing w:val="15"/>
      <w:sz w:val="28"/>
      <w:szCs w:val="28"/>
      <w:lang w:val="en-GB"/>
    </w:rPr>
  </w:style>
  <w:style w:type="paragraph" w:styleId="Quote">
    <w:name w:val="Quote"/>
    <w:basedOn w:val="Normal"/>
    <w:next w:val="Normal"/>
    <w:link w:val="QuoteChar"/>
    <w:uiPriority w:val="29"/>
    <w:qFormat/>
    <w:rsid w:val="00157D2B"/>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157D2B"/>
    <w:rPr>
      <w:i/>
      <w:iCs/>
      <w:color w:val="404040" w:themeColor="text1" w:themeTint="BF"/>
      <w:lang w:val="en-GB"/>
    </w:rPr>
  </w:style>
  <w:style w:type="paragraph" w:styleId="ListParagraph">
    <w:name w:val="List Paragraph"/>
    <w:basedOn w:val="Normal"/>
    <w:uiPriority w:val="34"/>
    <w:qFormat/>
    <w:rsid w:val="00157D2B"/>
    <w:pPr>
      <w:ind w:left="720"/>
      <w:contextualSpacing/>
    </w:pPr>
  </w:style>
  <w:style w:type="character" w:styleId="IntenseEmphasis">
    <w:name w:val="Intense Emphasis"/>
    <w:basedOn w:val="DefaultParagraphFont"/>
    <w:uiPriority w:val="21"/>
    <w:qFormat/>
    <w:rsid w:val="00157D2B"/>
    <w:rPr>
      <w:i/>
      <w:iCs/>
      <w:color w:val="0F4761" w:themeColor="accent1" w:themeShade="BF"/>
    </w:rPr>
  </w:style>
  <w:style w:type="paragraph" w:styleId="IntenseQuote">
    <w:name w:val="Intense Quote"/>
    <w:basedOn w:val="Normal"/>
    <w:next w:val="Normal"/>
    <w:link w:val="IntenseQuoteChar"/>
    <w:uiPriority w:val="30"/>
    <w:qFormat/>
    <w:rsid w:val="00157D2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57D2B"/>
    <w:rPr>
      <w:i/>
      <w:iCs/>
      <w:color w:val="0F4761" w:themeColor="accent1" w:themeShade="BF"/>
      <w:lang w:val="en-GB"/>
    </w:rPr>
  </w:style>
  <w:style w:type="character" w:styleId="IntenseReference">
    <w:name w:val="Intense Reference"/>
    <w:basedOn w:val="DefaultParagraphFont"/>
    <w:uiPriority w:val="32"/>
    <w:qFormat/>
    <w:rsid w:val="00157D2B"/>
    <w:rPr>
      <w:b/>
      <w:bCs/>
      <w:smallCaps/>
      <w:color w:val="0F4761" w:themeColor="accent1" w:themeShade="BF"/>
      <w:spacing w:val="5"/>
    </w:rPr>
  </w:style>
  <w:style w:type="paragraph" w:styleId="NormalWeb">
    <w:name w:val="Normal (Web)"/>
    <w:basedOn w:val="Normal"/>
    <w:uiPriority w:val="99"/>
    <w:semiHidden/>
    <w:unhideWhenUsed/>
    <w:rsid w:val="00157D2B"/>
    <w:pPr>
      <w:spacing w:before="100" w:beforeAutospacing="1" w:after="100" w:afterAutospacing="1"/>
    </w:pPr>
    <w:rPr>
      <w:rFonts w:ascii="Times New Roman" w:eastAsia="Times New Roman" w:hAnsi="Times New Roman" w:cs="Times New Roman"/>
      <w:kern w:val="0"/>
      <w:lang w:val="en-HR" w:eastAsia="en-GB"/>
      <w14:ligatures w14:val="none"/>
    </w:rPr>
  </w:style>
  <w:style w:type="character" w:styleId="Hyperlink">
    <w:name w:val="Hyperlink"/>
    <w:basedOn w:val="DefaultParagraphFont"/>
    <w:uiPriority w:val="99"/>
    <w:unhideWhenUsed/>
    <w:rsid w:val="00157D2B"/>
    <w:rPr>
      <w:color w:val="0000FF"/>
      <w:u w:val="single"/>
    </w:rPr>
  </w:style>
  <w:style w:type="paragraph" w:styleId="Footer">
    <w:name w:val="footer"/>
    <w:basedOn w:val="Normal"/>
    <w:link w:val="FooterChar"/>
    <w:uiPriority w:val="99"/>
    <w:unhideWhenUsed/>
    <w:rsid w:val="00190D17"/>
    <w:pPr>
      <w:tabs>
        <w:tab w:val="center" w:pos="4513"/>
        <w:tab w:val="right" w:pos="9026"/>
      </w:tabs>
    </w:pPr>
  </w:style>
  <w:style w:type="character" w:customStyle="1" w:styleId="FooterChar">
    <w:name w:val="Footer Char"/>
    <w:basedOn w:val="DefaultParagraphFont"/>
    <w:link w:val="Footer"/>
    <w:uiPriority w:val="99"/>
    <w:rsid w:val="00190D17"/>
    <w:rPr>
      <w:lang w:val="en-GB"/>
    </w:rPr>
  </w:style>
  <w:style w:type="character" w:styleId="PageNumber">
    <w:name w:val="page number"/>
    <w:basedOn w:val="DefaultParagraphFont"/>
    <w:uiPriority w:val="99"/>
    <w:semiHidden/>
    <w:unhideWhenUsed/>
    <w:rsid w:val="00190D17"/>
  </w:style>
  <w:style w:type="character" w:styleId="UnresolvedMention">
    <w:name w:val="Unresolved Mention"/>
    <w:basedOn w:val="DefaultParagraphFont"/>
    <w:uiPriority w:val="99"/>
    <w:semiHidden/>
    <w:unhideWhenUsed/>
    <w:rsid w:val="00190D1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svg"/><Relationship Id="rId13" Type="http://schemas.openxmlformats.org/officeDocument/2006/relationships/hyperlink" Target="https://www.unesco.org/en/articles/ai-and-future-education-disruptions-dilemmas-and-directions" TargetMode="External"/><Relationship Id="rId18" Type="http://schemas.openxmlformats.org/officeDocument/2006/relationships/hyperlink" Target="https://www.aei.org/research-products/report/de-skilling-the-knowledge-economy/" TargetMode="External"/><Relationship Id="rId3" Type="http://schemas.openxmlformats.org/officeDocument/2006/relationships/settings" Target="settings.xml"/><Relationship Id="rId21" Type="http://schemas.openxmlformats.org/officeDocument/2006/relationships/footer" Target="footer2.xml"/><Relationship Id="rId7" Type="http://schemas.openxmlformats.org/officeDocument/2006/relationships/image" Target="media/image1.png"/><Relationship Id="rId12" Type="http://schemas.openxmlformats.org/officeDocument/2006/relationships/hyperlink" Target="https://hai.stanford.edu/ai-index/2025-ai-index-report" TargetMode="External"/><Relationship Id="rId17" Type="http://schemas.openxmlformats.org/officeDocument/2006/relationships/hyperlink" Target="https://www.theguardian.com/education/2025/feb/26/uk-universities-warned-to-stress-test-assessments-as-92-of-students-use-ai" TargetMode="External"/><Relationship Id="rId2" Type="http://schemas.openxmlformats.org/officeDocument/2006/relationships/styles" Target="styles.xml"/><Relationship Id="rId16" Type="http://schemas.openxmlformats.org/officeDocument/2006/relationships/hyperlink" Target="https://www.hepi.ac.uk/reports/student-generative-ai-survey-2025/" TargetMode="External"/><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coe.int/en/web/artificial-intelligence/the-framework-convention-on-artificial-intelligence" TargetMode="External"/><Relationship Id="rId5" Type="http://schemas.openxmlformats.org/officeDocument/2006/relationships/footnotes" Target="footnotes.xml"/><Relationship Id="rId15" Type="http://schemas.openxmlformats.org/officeDocument/2006/relationships/hyperlink" Target="https://educationdatahub.org.uk/resources/ai-policy-template/" TargetMode="External"/><Relationship Id="rId23" Type="http://schemas.openxmlformats.org/officeDocument/2006/relationships/theme" Target="theme/theme1.xml"/><Relationship Id="rId10" Type="http://schemas.openxmlformats.org/officeDocument/2006/relationships/hyperlink" Target="https://www.unesco.org/en/articles/recommendation-ethics-artificial-intelligence" TargetMode="External"/><Relationship Id="rId19" Type="http://schemas.openxmlformats.org/officeDocument/2006/relationships/hyperlink" Target="https://saviesa.io/resources-and-white-papers/" TargetMode="External"/><Relationship Id="rId4" Type="http://schemas.openxmlformats.org/officeDocument/2006/relationships/webSettings" Target="webSettings.xml"/><Relationship Id="rId9" Type="http://schemas.openxmlformats.org/officeDocument/2006/relationships/hyperlink" Target="https://www.gov.uk/government/publications/generative-artificial-intelligence-in-education/generative-artificial-intelligence-ai-in-education?utm_source=chatgpt.com" TargetMode="External"/><Relationship Id="rId14" Type="http://schemas.openxmlformats.org/officeDocument/2006/relationships/hyperlink" Target="https://www.gov.uk/government/publications/generative-artificial-intelligence-in-education/generative-artificial-intelligence-ai-in-education"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6</Pages>
  <Words>2434</Words>
  <Characters>13876</Characters>
  <Application>Microsoft Office Word</Application>
  <DocSecurity>0</DocSecurity>
  <Lines>115</Lines>
  <Paragraphs>32</Paragraphs>
  <ScaleCrop>false</ScaleCrop>
  <Company/>
  <LinksUpToDate>false</LinksUpToDate>
  <CharactersWithSpaces>16278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Leonor Diaz Alcantara</dc:creator>
  <cp:keywords/>
  <dc:description/>
  <cp:lastModifiedBy>Leonor Diaz Alcantara</cp:lastModifiedBy>
  <cp:revision>3</cp:revision>
  <dcterms:created xsi:type="dcterms:W3CDTF">2025-10-20T13:58:00Z</dcterms:created>
  <dcterms:modified xsi:type="dcterms:W3CDTF">2025-10-20T16:07:00Z</dcterms:modified>
</cp:coreProperties>
</file>